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4357">
      <w:pPr>
        <w:spacing w:line="620" w:lineRule="exact"/>
        <w:jc w:val="center"/>
        <w:rPr>
          <w:rFonts w:hint="eastAsia" w:ascii="Times New Roman" w:eastAsia="方正小标宋简体"/>
          <w:sz w:val="44"/>
        </w:rPr>
      </w:pPr>
    </w:p>
    <w:p w14:paraId="4AFC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eastAsia="方正小标宋简体"/>
          <w:sz w:val="44"/>
          <w:lang w:eastAsia="zh-CN"/>
        </w:rPr>
      </w:pPr>
      <w:r>
        <w:rPr>
          <w:rFonts w:hint="eastAsia" w:ascii="Times New Roman" w:eastAsia="方正小标宋简体"/>
          <w:sz w:val="44"/>
        </w:rPr>
        <w:t>包头稀土高</w:t>
      </w:r>
      <w:r>
        <w:rPr>
          <w:rFonts w:hint="eastAsia" w:ascii="Times New Roman" w:eastAsia="方正小标宋简体"/>
          <w:sz w:val="44"/>
          <w:lang w:eastAsia="zh-CN"/>
        </w:rPr>
        <w:t>新区管委会</w:t>
      </w:r>
    </w:p>
    <w:p w14:paraId="2247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eastAsia="方正小标宋简体"/>
          <w:sz w:val="44"/>
          <w:lang w:val="en-US" w:eastAsia="zh-CN"/>
        </w:rPr>
      </w:pPr>
      <w:r>
        <w:rPr>
          <w:rFonts w:hint="eastAsia" w:ascii="Times New Roman" w:eastAsia="方正小标宋简体"/>
          <w:sz w:val="44"/>
          <w:lang w:eastAsia="zh-CN"/>
        </w:rPr>
        <w:t>建设项目用地提前办理</w:t>
      </w:r>
      <w:r>
        <w:rPr>
          <w:rFonts w:hint="eastAsia" w:ascii="Times New Roman" w:eastAsia="方正小标宋简体"/>
          <w:sz w:val="44"/>
        </w:rPr>
        <w:t>林草手续</w:t>
      </w:r>
      <w:r>
        <w:rPr>
          <w:rFonts w:hint="eastAsia" w:ascii="Times New Roman" w:eastAsia="方正小标宋简体"/>
          <w:sz w:val="44"/>
          <w:lang w:eastAsia="zh-CN"/>
        </w:rPr>
        <w:t>暂行</w:t>
      </w:r>
      <w:r>
        <w:rPr>
          <w:rFonts w:hint="eastAsia" w:ascii="Times New Roman" w:eastAsia="方正小标宋简体"/>
          <w:sz w:val="44"/>
        </w:rPr>
        <w:t>办法</w:t>
      </w:r>
    </w:p>
    <w:p w14:paraId="6C2FE42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/>
        <w:jc w:val="center"/>
        <w:textAlignment w:val="auto"/>
        <w:rPr>
          <w:rFonts w:hint="eastAsia" w:ascii="Times New Roman" w:eastAsia="方正楷体_GBK"/>
          <w:bCs/>
          <w:color w:val="333333"/>
          <w:sz w:val="32"/>
        </w:rPr>
      </w:pPr>
    </w:p>
    <w:p w14:paraId="235992A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黑体" w:hAnsi="黑体" w:eastAsia="黑体" w:cs="黑体"/>
          <w:bCs/>
          <w:color w:val="333333"/>
          <w:sz w:val="32"/>
        </w:rPr>
      </w:pPr>
      <w:r>
        <w:rPr>
          <w:rFonts w:hint="eastAsia" w:ascii="黑体" w:hAnsi="黑体" w:eastAsia="黑体" w:cs="黑体"/>
          <w:bCs/>
          <w:color w:val="333333"/>
          <w:sz w:val="32"/>
        </w:rPr>
        <w:t>第一章 总则</w:t>
      </w:r>
    </w:p>
    <w:p w14:paraId="46050EF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0"/>
        <w:jc w:val="center"/>
        <w:textAlignment w:val="auto"/>
        <w:rPr>
          <w:rFonts w:hint="eastAsia" w:ascii="Times New Roman" w:eastAsia="方正楷体_GBK"/>
          <w:bCs/>
          <w:color w:val="333333"/>
          <w:sz w:val="32"/>
        </w:rPr>
      </w:pPr>
    </w:p>
    <w:p w14:paraId="0E6CE15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</w:rPr>
        <w:t>第一条</w:t>
      </w:r>
      <w:r>
        <w:rPr>
          <w:rFonts w:hint="eastAsia" w:ascii="仿宋" w:hAnsi="仿宋" w:eastAsia="仿宋" w:cs="仿宋"/>
          <w:color w:val="333333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</w:rPr>
        <w:t>为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进一步</w:t>
      </w:r>
      <w:r>
        <w:rPr>
          <w:rFonts w:hint="eastAsia" w:ascii="仿宋" w:hAnsi="仿宋" w:eastAsia="仿宋" w:cs="仿宋"/>
          <w:color w:val="333333"/>
          <w:sz w:val="32"/>
        </w:rPr>
        <w:t>优化营商环境，</w:t>
      </w:r>
      <w:bookmarkStart w:id="0" w:name="OLE_LINK1"/>
      <w:r>
        <w:rPr>
          <w:rFonts w:hint="eastAsia" w:ascii="仿宋" w:hAnsi="仿宋" w:eastAsia="仿宋" w:cs="仿宋"/>
          <w:color w:val="333333"/>
          <w:sz w:val="32"/>
        </w:rPr>
        <w:t>加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速</w:t>
      </w:r>
      <w:r>
        <w:rPr>
          <w:rFonts w:hint="eastAsia" w:ascii="仿宋" w:hAnsi="仿宋" w:eastAsia="仿宋" w:cs="仿宋"/>
          <w:color w:val="333333"/>
          <w:sz w:val="32"/>
        </w:rPr>
        <w:t>土地农转用报批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及</w:t>
      </w:r>
      <w:r>
        <w:rPr>
          <w:rFonts w:hint="eastAsia" w:ascii="仿宋" w:hAnsi="仿宋" w:eastAsia="仿宋" w:cs="仿宋"/>
          <w:color w:val="333333"/>
          <w:sz w:val="32"/>
        </w:rPr>
        <w:t>林草手续办理进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程</w:t>
      </w:r>
      <w:r>
        <w:rPr>
          <w:rFonts w:hint="eastAsia" w:ascii="仿宋" w:hAnsi="仿宋" w:eastAsia="仿宋" w:cs="仿宋"/>
          <w:color w:val="333333"/>
          <w:sz w:val="32"/>
        </w:rPr>
        <w:t>，</w:t>
      </w:r>
      <w:bookmarkEnd w:id="0"/>
      <w:r>
        <w:rPr>
          <w:rFonts w:hint="eastAsia" w:ascii="仿宋" w:hAnsi="仿宋" w:eastAsia="仿宋" w:cs="仿宋"/>
          <w:color w:val="333333"/>
          <w:sz w:val="32"/>
          <w:lang w:eastAsia="zh-CN"/>
        </w:rPr>
        <w:t>着力构建</w:t>
      </w:r>
      <w:r>
        <w:rPr>
          <w:rFonts w:hint="eastAsia" w:ascii="仿宋" w:hAnsi="仿宋" w:eastAsia="仿宋" w:cs="仿宋"/>
          <w:color w:val="333333"/>
          <w:sz w:val="32"/>
        </w:rPr>
        <w:t>服务型政府，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依</w:t>
      </w:r>
      <w:r>
        <w:rPr>
          <w:rFonts w:hint="eastAsia" w:ascii="仿宋" w:hAnsi="仿宋" w:eastAsia="仿宋" w:cs="仿宋"/>
          <w:color w:val="333333"/>
          <w:sz w:val="32"/>
        </w:rPr>
        <w:t>据《中华人民共和国草原法》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《中华人民共和国森林法》《中华人民共和国土地管理法》《内蒙古自治区草原征占用审核审批管理规定》</w:t>
      </w:r>
      <w:r>
        <w:rPr>
          <w:rFonts w:hint="eastAsia" w:ascii="仿宋" w:hAnsi="仿宋" w:eastAsia="仿宋" w:cs="仿宋"/>
          <w:color w:val="333333"/>
          <w:sz w:val="32"/>
        </w:rPr>
        <w:t>《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国家林业和草原局草原征占用审核审批管理规范</w:t>
      </w:r>
      <w:r>
        <w:rPr>
          <w:rFonts w:hint="eastAsia" w:ascii="仿宋" w:hAnsi="仿宋" w:eastAsia="仿宋" w:cs="仿宋"/>
          <w:color w:val="333333"/>
          <w:sz w:val="32"/>
        </w:rPr>
        <w:t>》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《建设项目使用林地审核审批管理办法》等，并</w:t>
      </w:r>
      <w:r>
        <w:rPr>
          <w:rFonts w:hint="eastAsia" w:ascii="仿宋" w:hAnsi="仿宋" w:eastAsia="仿宋" w:cs="仿宋"/>
          <w:color w:val="333333"/>
          <w:sz w:val="32"/>
        </w:rPr>
        <w:t>结合高新区实际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情况</w:t>
      </w:r>
      <w:r>
        <w:rPr>
          <w:rFonts w:hint="eastAsia" w:ascii="仿宋" w:hAnsi="仿宋" w:eastAsia="仿宋" w:cs="仿宋"/>
          <w:color w:val="333333"/>
          <w:sz w:val="32"/>
        </w:rPr>
        <w:t>，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特</w:t>
      </w:r>
      <w:r>
        <w:rPr>
          <w:rFonts w:hint="eastAsia" w:ascii="仿宋" w:hAnsi="仿宋" w:eastAsia="仿宋" w:cs="仿宋"/>
          <w:color w:val="333333"/>
          <w:sz w:val="32"/>
        </w:rPr>
        <w:t>制定本办法。</w:t>
      </w:r>
    </w:p>
    <w:p w14:paraId="40AFFD5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</w:rPr>
        <w:t>第二条</w:t>
      </w:r>
      <w:r>
        <w:rPr>
          <w:rFonts w:hint="eastAsia" w:ascii="仿宋" w:hAnsi="仿宋" w:eastAsia="仿宋" w:cs="仿宋"/>
          <w:color w:val="auto"/>
          <w:sz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</w:rPr>
        <w:t>本办法适用于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稀土高新区</w:t>
      </w:r>
      <w:r>
        <w:rPr>
          <w:rFonts w:hint="eastAsia" w:ascii="仿宋" w:hAnsi="仿宋" w:eastAsia="仿宋" w:cs="仿宋"/>
          <w:color w:val="333333"/>
          <w:sz w:val="32"/>
        </w:rPr>
        <w:t>辖区范围（含托管区）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内</w:t>
      </w:r>
      <w:r>
        <w:rPr>
          <w:rFonts w:hint="eastAsia" w:ascii="仿宋" w:hAnsi="仿宋" w:eastAsia="仿宋" w:cs="仿宋"/>
          <w:color w:val="333333"/>
          <w:sz w:val="32"/>
        </w:rPr>
        <w:t>实施项目用地过程中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，建设项目用地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提前</w:t>
      </w:r>
      <w:r>
        <w:rPr>
          <w:rFonts w:hint="eastAsia" w:ascii="仿宋" w:hAnsi="仿宋" w:eastAsia="仿宋" w:cs="仿宋"/>
          <w:color w:val="auto"/>
          <w:sz w:val="32"/>
        </w:rPr>
        <w:t>办理林草手续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</w:rPr>
        <w:t>工作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情</w:t>
      </w:r>
      <w:r>
        <w:rPr>
          <w:rFonts w:hint="eastAsia" w:ascii="仿宋" w:hAnsi="仿宋" w:eastAsia="仿宋" w:cs="仿宋"/>
          <w:color w:val="auto"/>
          <w:sz w:val="32"/>
        </w:rPr>
        <w:t>形。</w:t>
      </w:r>
    </w:p>
    <w:p w14:paraId="4B7D197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</w:rPr>
        <w:t>第三条</w:t>
      </w:r>
      <w:r>
        <w:rPr>
          <w:rFonts w:hint="eastAsia" w:ascii="仿宋" w:hAnsi="仿宋" w:eastAsia="仿宋" w:cs="仿宋"/>
          <w:b/>
          <w:bCs/>
          <w:color w:val="auto"/>
          <w:sz w:val="28"/>
        </w:rPr>
        <w:t xml:space="preserve"> </w:t>
      </w:r>
      <w:bookmarkStart w:id="1" w:name="OLE_LINK2"/>
      <w:r>
        <w:rPr>
          <w:rFonts w:hint="eastAsia" w:ascii="仿宋" w:hAnsi="仿宋" w:eastAsia="仿宋" w:cs="仿宋"/>
          <w:color w:val="333333"/>
          <w:sz w:val="32"/>
        </w:rPr>
        <w:t>本办法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“提前</w:t>
      </w:r>
      <w:r>
        <w:rPr>
          <w:rFonts w:hint="eastAsia" w:ascii="仿宋" w:hAnsi="仿宋" w:eastAsia="仿宋" w:cs="仿宋"/>
          <w:color w:val="auto"/>
          <w:sz w:val="32"/>
        </w:rPr>
        <w:t>办理林草手续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</w:rPr>
        <w:t>，</w:t>
      </w:r>
      <w:r>
        <w:rPr>
          <w:rFonts w:hint="eastAsia" w:ascii="仿宋" w:hAnsi="仿宋" w:eastAsia="仿宋" w:cs="仿宋"/>
          <w:color w:val="333333"/>
          <w:sz w:val="32"/>
        </w:rPr>
        <w:t>是指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稀土高新区</w:t>
      </w:r>
      <w:r>
        <w:rPr>
          <w:rFonts w:hint="eastAsia" w:ascii="仿宋" w:hAnsi="仿宋" w:eastAsia="仿宋" w:cs="仿宋"/>
          <w:color w:val="333333"/>
          <w:sz w:val="32"/>
        </w:rPr>
        <w:t>城市建设或招商引资项目用地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（含商住等用地）拟</w:t>
      </w:r>
      <w:r>
        <w:rPr>
          <w:rFonts w:hint="eastAsia" w:ascii="仿宋" w:hAnsi="仿宋" w:eastAsia="仿宋" w:cs="仿宋"/>
          <w:color w:val="333333"/>
          <w:sz w:val="32"/>
        </w:rPr>
        <w:t>占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用</w:t>
      </w:r>
      <w:r>
        <w:rPr>
          <w:rFonts w:hint="eastAsia" w:ascii="仿宋" w:hAnsi="仿宋" w:eastAsia="仿宋" w:cs="仿宋"/>
          <w:color w:val="333333"/>
          <w:sz w:val="32"/>
        </w:rPr>
        <w:t>林地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</w:rPr>
        <w:t>草地，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需提前办理林草手续的情形下</w:t>
      </w:r>
      <w:r>
        <w:rPr>
          <w:rFonts w:hint="eastAsia" w:ascii="仿宋" w:hAnsi="仿宋" w:eastAsia="仿宋" w:cs="仿宋"/>
          <w:color w:val="auto"/>
          <w:sz w:val="32"/>
        </w:rPr>
        <w:t>，为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推动</w:t>
      </w:r>
      <w:r>
        <w:rPr>
          <w:rFonts w:hint="eastAsia" w:ascii="仿宋" w:hAnsi="仿宋" w:eastAsia="仿宋" w:cs="仿宋"/>
          <w:color w:val="auto"/>
          <w:sz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尽快</w:t>
      </w:r>
      <w:r>
        <w:rPr>
          <w:rFonts w:hint="eastAsia" w:ascii="仿宋" w:hAnsi="仿宋" w:eastAsia="仿宋" w:cs="仿宋"/>
          <w:color w:val="auto"/>
          <w:sz w:val="32"/>
        </w:rPr>
        <w:t>落地所适用的情况。</w:t>
      </w:r>
    </w:p>
    <w:bookmarkEnd w:id="1"/>
    <w:p w14:paraId="00B0B12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</w:rPr>
        <w:t>第四条</w:t>
      </w:r>
      <w:r>
        <w:rPr>
          <w:rFonts w:hint="eastAsia" w:ascii="仿宋" w:hAnsi="仿宋" w:eastAsia="仿宋" w:cs="仿宋"/>
          <w:color w:val="auto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</w:rPr>
        <w:t>资源环境局负责林地和草地征占手续初审及组卷报送工作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sz w:val="32"/>
        </w:rPr>
        <w:t>建设服务中心、包头市滨河新区开发建设有限责任公司（以下简称滨河公司）等相关部门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</w:rPr>
        <w:t>负责提供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立项文件及</w:t>
      </w:r>
      <w:r>
        <w:rPr>
          <w:rFonts w:hint="eastAsia" w:ascii="仿宋" w:hAnsi="仿宋" w:eastAsia="仿宋" w:cs="仿宋"/>
          <w:color w:val="333333"/>
          <w:sz w:val="32"/>
        </w:rPr>
        <w:t>组卷所需相关材料工作。</w:t>
      </w:r>
    </w:p>
    <w:p w14:paraId="4E91B92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40" w:firstLineChars="200"/>
        <w:jc w:val="both"/>
        <w:textAlignment w:val="auto"/>
        <w:rPr>
          <w:rFonts w:hint="eastAsia" w:ascii="Times New Roman" w:eastAsia="仿宋_GB2312"/>
          <w:color w:val="333333"/>
          <w:sz w:val="32"/>
        </w:rPr>
      </w:pPr>
    </w:p>
    <w:p w14:paraId="4D82835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黑体" w:hAnsi="黑体" w:eastAsia="黑体" w:cs="黑体"/>
          <w:color w:val="333333"/>
          <w:sz w:val="32"/>
        </w:rPr>
      </w:pPr>
      <w:r>
        <w:rPr>
          <w:rFonts w:hint="eastAsia" w:ascii="黑体" w:hAnsi="黑体" w:eastAsia="黑体" w:cs="黑体"/>
          <w:color w:val="333333"/>
          <w:sz w:val="32"/>
        </w:rPr>
        <w:t>第二章 项目立项申报</w:t>
      </w:r>
    </w:p>
    <w:p w14:paraId="35C8BD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40" w:firstLineChars="200"/>
        <w:jc w:val="both"/>
        <w:textAlignment w:val="auto"/>
        <w:rPr>
          <w:rFonts w:hint="eastAsia" w:ascii="Times New Roman" w:eastAsia="方正黑体_GBK"/>
          <w:kern w:val="2"/>
          <w:sz w:val="32"/>
        </w:rPr>
      </w:pPr>
    </w:p>
    <w:p w14:paraId="2C1E3FB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</w:rPr>
        <w:t>条</w:t>
      </w:r>
      <w:r>
        <w:rPr>
          <w:rFonts w:hint="eastAsia" w:ascii="仿宋" w:hAnsi="仿宋" w:eastAsia="仿宋" w:cs="仿宋"/>
          <w:color w:val="auto"/>
          <w:kern w:val="2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立项单位的确认，根据实施主体及资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质状况，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在立项内容与实际实施项目相符的前提下，确定立项单位如下：</w:t>
      </w:r>
    </w:p>
    <w:p w14:paraId="6038BB5F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道路基建等基础设施项目，由区建设服务中心负责办理立项手续；</w:t>
      </w:r>
    </w:p>
    <w:p w14:paraId="5C997A82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</w:rPr>
      </w:pPr>
      <w:r>
        <w:rPr>
          <w:rFonts w:hint="eastAsia" w:ascii="仿宋" w:hAnsi="仿宋" w:eastAsia="仿宋" w:cs="仿宋"/>
          <w:color w:val="333333"/>
          <w:sz w:val="32"/>
          <w:lang w:eastAsia="zh-CN"/>
        </w:rPr>
        <w:t>存在</w:t>
      </w:r>
      <w:r>
        <w:rPr>
          <w:rFonts w:hint="eastAsia" w:ascii="仿宋" w:hAnsi="仿宋" w:eastAsia="仿宋" w:cs="仿宋"/>
          <w:color w:val="333333"/>
          <w:sz w:val="32"/>
        </w:rPr>
        <w:t>用地意向企业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，但尚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未确定</w:t>
      </w:r>
      <w:r>
        <w:rPr>
          <w:rFonts w:hint="eastAsia" w:ascii="仿宋" w:hAnsi="仿宋" w:eastAsia="仿宋" w:cs="仿宋"/>
          <w:color w:val="333333"/>
          <w:sz w:val="32"/>
        </w:rPr>
        <w:t>办理立项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且拟占用林地草地的</w:t>
      </w:r>
      <w:r>
        <w:rPr>
          <w:rFonts w:hint="eastAsia" w:ascii="仿宋" w:hAnsi="仿宋" w:eastAsia="仿宋" w:cs="仿宋"/>
          <w:color w:val="333333"/>
          <w:sz w:val="32"/>
        </w:rPr>
        <w:t>项目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</w:rPr>
        <w:t>由滨河公司代管委会申请办理立项手续；</w:t>
      </w:r>
    </w:p>
    <w:p w14:paraId="57DA2BE4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</w:rPr>
      </w:pPr>
      <w:r>
        <w:rPr>
          <w:rFonts w:hint="eastAsia" w:ascii="仿宋" w:hAnsi="仿宋" w:eastAsia="仿宋" w:cs="仿宋"/>
          <w:color w:val="333333"/>
          <w:sz w:val="32"/>
          <w:lang w:eastAsia="zh-CN"/>
        </w:rPr>
        <w:t>若</w:t>
      </w:r>
      <w:r>
        <w:rPr>
          <w:rFonts w:hint="eastAsia" w:ascii="仿宋" w:hAnsi="仿宋" w:eastAsia="仿宋" w:cs="仿宋"/>
          <w:color w:val="333333"/>
          <w:sz w:val="32"/>
        </w:rPr>
        <w:t>建设服务中心以及滨河公司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均</w:t>
      </w:r>
      <w:r>
        <w:rPr>
          <w:rFonts w:hint="eastAsia" w:ascii="仿宋" w:hAnsi="仿宋" w:eastAsia="仿宋" w:cs="仿宋"/>
          <w:color w:val="333333"/>
          <w:sz w:val="32"/>
        </w:rPr>
        <w:t>不具备立项资质的项目，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由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用地</w:t>
      </w:r>
      <w:r>
        <w:rPr>
          <w:rFonts w:hint="eastAsia" w:ascii="仿宋" w:hAnsi="仿宋" w:eastAsia="仿宋" w:cs="仿宋"/>
          <w:color w:val="333333"/>
          <w:sz w:val="32"/>
        </w:rPr>
        <w:t>意向企业办理立项手续。</w:t>
      </w:r>
    </w:p>
    <w:p w14:paraId="36656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第六条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规划与用地相关工作。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规划分局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负责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提供规划条件书、项目用地预审和选址意见书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或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附有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具体范围及坐标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项目用地规划条件函，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并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 xml:space="preserve">明确相关规划条件指标；资源环境局提供项目用地意见，并配合规划分局开展项目用地预审和选址工作。 </w:t>
      </w:r>
    </w:p>
    <w:p w14:paraId="577E1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第七条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资料提供职责。土地所属街镇负责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提供征收集体土地协议书等所需资料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资源环境局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负责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提供使用国有土地收储协议等所需资料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；经济发展局负责提供立项所需资料；社会事务局负责提供是否涉及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文物遗存所需资料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。</w:t>
      </w:r>
    </w:p>
    <w:p w14:paraId="7A77EE4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0"/>
        <w:jc w:val="center"/>
        <w:textAlignment w:val="auto"/>
        <w:rPr>
          <w:rFonts w:ascii="Times New Roman" w:eastAsia="方正楷体_GBK"/>
          <w:color w:val="auto"/>
          <w:sz w:val="32"/>
        </w:rPr>
      </w:pPr>
    </w:p>
    <w:p w14:paraId="582132B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黑体" w:hAnsi="黑体" w:eastAsia="黑体" w:cs="黑体"/>
          <w:color w:val="333333"/>
          <w:sz w:val="32"/>
        </w:rPr>
      </w:pPr>
      <w:r>
        <w:rPr>
          <w:rFonts w:hint="eastAsia" w:ascii="黑体" w:hAnsi="黑体" w:eastAsia="黑体" w:cs="黑体"/>
          <w:color w:val="333333"/>
          <w:sz w:val="32"/>
        </w:rPr>
        <w:t>第三章 勘测报告编制</w:t>
      </w:r>
    </w:p>
    <w:p w14:paraId="246FFB4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40" w:firstLineChars="200"/>
        <w:jc w:val="both"/>
        <w:textAlignment w:val="auto"/>
        <w:rPr>
          <w:rFonts w:hint="eastAsia" w:ascii="Times New Roman" w:eastAsia="方正黑体_GBK"/>
          <w:kern w:val="2"/>
          <w:sz w:val="32"/>
        </w:rPr>
      </w:pPr>
    </w:p>
    <w:p w14:paraId="75ABC71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</w:rPr>
        <w:t>条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作业单位选取方式。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原则上</w:t>
      </w:r>
      <w:r>
        <w:rPr>
          <w:rFonts w:hint="eastAsia" w:ascii="仿宋" w:hAnsi="仿宋" w:eastAsia="仿宋" w:cs="仿宋"/>
          <w:color w:val="333333"/>
          <w:sz w:val="32"/>
        </w:rPr>
        <w:t>通过包头市“多测合一”平台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确定作业单位。对于</w:t>
      </w:r>
      <w:r>
        <w:rPr>
          <w:rFonts w:hint="eastAsia" w:ascii="仿宋" w:hAnsi="仿宋" w:eastAsia="仿宋" w:cs="仿宋"/>
          <w:color w:val="333333"/>
          <w:sz w:val="32"/>
        </w:rPr>
        <w:t>包头市“多测合一”平台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未涵盖的业务，可通过</w:t>
      </w:r>
      <w:r>
        <w:rPr>
          <w:rFonts w:hint="eastAsia" w:ascii="仿宋" w:hAnsi="仿宋" w:eastAsia="仿宋" w:cs="仿宋"/>
          <w:color w:val="333333"/>
          <w:sz w:val="32"/>
        </w:rPr>
        <w:t>公开招标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sz w:val="32"/>
        </w:rPr>
        <w:t>方式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，选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定</w:t>
      </w:r>
      <w:r>
        <w:rPr>
          <w:rFonts w:hint="eastAsia" w:ascii="仿宋" w:hAnsi="仿宋" w:eastAsia="仿宋" w:cs="仿宋"/>
          <w:color w:val="333333"/>
          <w:sz w:val="32"/>
        </w:rPr>
        <w:t>资质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合规、</w:t>
      </w:r>
      <w:r>
        <w:rPr>
          <w:rFonts w:hint="eastAsia" w:ascii="仿宋" w:hAnsi="仿宋" w:eastAsia="仿宋" w:cs="仿宋"/>
          <w:color w:val="333333"/>
          <w:sz w:val="32"/>
        </w:rPr>
        <w:t>业务熟练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</w:rPr>
        <w:t>经验丰富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且</w:t>
      </w:r>
      <w:r>
        <w:rPr>
          <w:rFonts w:hint="eastAsia" w:ascii="仿宋" w:hAnsi="仿宋" w:eastAsia="仿宋" w:cs="仿宋"/>
          <w:color w:val="333333"/>
          <w:sz w:val="32"/>
        </w:rPr>
        <w:t>协调能力强的作业单位。</w:t>
      </w:r>
    </w:p>
    <w:p w14:paraId="736152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333333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</w:rPr>
        <w:t>第九条</w:t>
      </w:r>
      <w:r>
        <w:rPr>
          <w:rFonts w:hint="eastAsia" w:ascii="仿宋" w:hAnsi="仿宋" w:eastAsia="仿宋" w:cs="仿宋"/>
          <w:color w:val="333333"/>
          <w:sz w:val="32"/>
        </w:rPr>
        <w:t xml:space="preserve"> </w:t>
      </w:r>
      <w:bookmarkStart w:id="2" w:name="_Hlk186581060"/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资料编制委托。</w:t>
      </w:r>
      <w:r>
        <w:rPr>
          <w:rFonts w:hint="eastAsia" w:ascii="仿宋" w:hAnsi="仿宋" w:eastAsia="仿宋" w:cs="仿宋"/>
          <w:color w:val="333333"/>
          <w:sz w:val="32"/>
        </w:rPr>
        <w:t>资源环境局</w:t>
      </w:r>
      <w:bookmarkEnd w:id="2"/>
      <w:r>
        <w:rPr>
          <w:rFonts w:hint="eastAsia" w:ascii="仿宋" w:hAnsi="仿宋" w:eastAsia="仿宋" w:cs="仿宋"/>
          <w:color w:val="333333"/>
          <w:sz w:val="32"/>
          <w:lang w:eastAsia="zh-CN"/>
        </w:rPr>
        <w:t>负责</w:t>
      </w:r>
      <w:r>
        <w:rPr>
          <w:rFonts w:hint="eastAsia" w:ascii="仿宋" w:hAnsi="仿宋" w:eastAsia="仿宋" w:cs="仿宋"/>
          <w:color w:val="333333"/>
          <w:sz w:val="32"/>
        </w:rPr>
        <w:t>选取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并</w:t>
      </w:r>
      <w:r>
        <w:rPr>
          <w:rFonts w:hint="eastAsia" w:ascii="仿宋" w:hAnsi="仿宋" w:eastAsia="仿宋" w:cs="仿宋"/>
          <w:color w:val="333333"/>
          <w:sz w:val="32"/>
        </w:rPr>
        <w:t>委托作业单位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，开展</w:t>
      </w:r>
      <w:r>
        <w:rPr>
          <w:rFonts w:hint="eastAsia" w:ascii="仿宋" w:hAnsi="仿宋" w:eastAsia="仿宋" w:cs="仿宋"/>
          <w:color w:val="333333"/>
          <w:sz w:val="32"/>
        </w:rPr>
        <w:t>草地勘测报告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（征占用草原范围坐标图册）、</w:t>
      </w:r>
      <w:r>
        <w:rPr>
          <w:rFonts w:hint="eastAsia" w:ascii="仿宋" w:hAnsi="仿宋" w:eastAsia="仿宋" w:cs="仿宋"/>
          <w:color w:val="333333"/>
          <w:sz w:val="32"/>
        </w:rPr>
        <w:t>林地勘测报</w:t>
      </w:r>
      <w:r>
        <w:rPr>
          <w:rFonts w:hint="eastAsia" w:ascii="仿宋" w:hAnsi="仿宋" w:eastAsia="仿宋" w:cs="仿宋"/>
          <w:color w:val="333333"/>
          <w:sz w:val="32"/>
          <w:lang w:val="en-US" w:eastAsia="zh-CN"/>
        </w:rPr>
        <w:t>告（小于3公顷出具使用林地现状调查表，大于3公顷出具使用林地可行性研究报告）及林木采伐作业设计报告等相关资料的编制工作。</w:t>
      </w:r>
    </w:p>
    <w:p w14:paraId="3A897A5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333333"/>
          <w:sz w:val="32"/>
          <w:lang w:val="en-US" w:eastAsia="zh-CN"/>
        </w:rPr>
      </w:pPr>
    </w:p>
    <w:p w14:paraId="3738AD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333333"/>
          <w:sz w:val="32"/>
        </w:rPr>
      </w:pPr>
      <w:r>
        <w:rPr>
          <w:rFonts w:hint="eastAsia" w:ascii="黑体" w:hAnsi="黑体" w:eastAsia="黑体" w:cs="黑体"/>
          <w:color w:val="333333"/>
          <w:sz w:val="32"/>
        </w:rPr>
        <w:t>第四章 办理程序</w:t>
      </w:r>
    </w:p>
    <w:p w14:paraId="71BDE59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40" w:firstLineChars="200"/>
        <w:jc w:val="both"/>
        <w:textAlignment w:val="auto"/>
        <w:rPr>
          <w:rFonts w:hint="eastAsia" w:ascii="Times New Roman" w:eastAsia="方正黑体_GBK"/>
          <w:sz w:val="32"/>
        </w:rPr>
      </w:pPr>
    </w:p>
    <w:p w14:paraId="3CC8D1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</w:rPr>
        <w:t>第十条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根据</w:t>
      </w:r>
      <w:r>
        <w:rPr>
          <w:rFonts w:hint="eastAsia" w:ascii="仿宋" w:hAnsi="仿宋" w:eastAsia="仿宋" w:cs="仿宋"/>
          <w:color w:val="333333"/>
          <w:sz w:val="32"/>
        </w:rPr>
        <w:t>管委会要求，各相关单位需提前介入项目开工手续办理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工作。</w:t>
      </w:r>
      <w:r>
        <w:rPr>
          <w:rFonts w:hint="eastAsia" w:ascii="仿宋" w:hAnsi="仿宋" w:eastAsia="仿宋" w:cs="仿宋"/>
          <w:color w:val="333333"/>
          <w:sz w:val="32"/>
        </w:rPr>
        <w:t>资源环境局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负责</w:t>
      </w:r>
      <w:r>
        <w:rPr>
          <w:rFonts w:hint="eastAsia" w:ascii="仿宋" w:hAnsi="仿宋" w:eastAsia="仿宋" w:cs="仿宋"/>
          <w:color w:val="333333"/>
          <w:sz w:val="32"/>
        </w:rPr>
        <w:t>开展拟建设项目用地勘测定界等前期工作，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明确</w:t>
      </w:r>
      <w:r>
        <w:rPr>
          <w:rFonts w:hint="eastAsia" w:ascii="仿宋" w:hAnsi="仿宋" w:eastAsia="仿宋" w:cs="仿宋"/>
          <w:color w:val="333333"/>
          <w:sz w:val="32"/>
        </w:rPr>
        <w:t>项目用地权属、现状地类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及</w:t>
      </w:r>
      <w:r>
        <w:rPr>
          <w:rFonts w:hint="eastAsia" w:ascii="仿宋" w:hAnsi="仿宋" w:eastAsia="仿宋" w:cs="仿宋"/>
          <w:color w:val="333333"/>
          <w:sz w:val="32"/>
        </w:rPr>
        <w:t>面积等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信息</w:t>
      </w:r>
      <w:r>
        <w:rPr>
          <w:rFonts w:hint="eastAsia" w:ascii="仿宋" w:hAnsi="仿宋" w:eastAsia="仿宋" w:cs="仿宋"/>
          <w:color w:val="333333"/>
          <w:sz w:val="32"/>
        </w:rPr>
        <w:t>。</w:t>
      </w:r>
    </w:p>
    <w:p w14:paraId="5952D57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第十一条</w:t>
      </w:r>
      <w:r>
        <w:rPr>
          <w:rFonts w:hint="eastAsia" w:ascii="仿宋" w:hAnsi="仿宋" w:eastAsia="仿宋" w:cs="仿宋"/>
          <w:color w:val="333333"/>
          <w:sz w:val="32"/>
        </w:rPr>
        <w:t xml:space="preserve"> 资源环境局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指导</w:t>
      </w:r>
      <w:r>
        <w:rPr>
          <w:rFonts w:hint="eastAsia" w:ascii="仿宋" w:hAnsi="仿宋" w:eastAsia="仿宋" w:cs="仿宋"/>
          <w:color w:val="333333"/>
          <w:sz w:val="32"/>
        </w:rPr>
        <w:t>立项单位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</w:rPr>
        <w:t>开展项目用地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拟</w:t>
      </w:r>
      <w:r>
        <w:rPr>
          <w:rFonts w:hint="eastAsia" w:ascii="仿宋" w:hAnsi="仿宋" w:eastAsia="仿宋" w:cs="仿宋"/>
          <w:color w:val="333333"/>
          <w:sz w:val="32"/>
        </w:rPr>
        <w:t>占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用</w:t>
      </w:r>
      <w:r>
        <w:rPr>
          <w:rFonts w:hint="eastAsia" w:ascii="仿宋" w:hAnsi="仿宋" w:eastAsia="仿宋" w:cs="仿宋"/>
          <w:color w:val="333333"/>
          <w:sz w:val="32"/>
        </w:rPr>
        <w:t>林地和草地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sz w:val="32"/>
        </w:rPr>
        <w:t>手续申报工作，直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至取</w:t>
      </w:r>
      <w:r>
        <w:rPr>
          <w:rFonts w:hint="eastAsia" w:ascii="仿宋" w:hAnsi="仿宋" w:eastAsia="仿宋" w:cs="仿宋"/>
          <w:color w:val="333333"/>
          <w:sz w:val="32"/>
        </w:rPr>
        <w:t>得项目使用林地审核同意书和项目征收使用草原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sz w:val="32"/>
        </w:rPr>
        <w:t>行政许可决定文件。</w:t>
      </w:r>
    </w:p>
    <w:p w14:paraId="2B2FA5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</w:rPr>
        <w:t>第十二条</w:t>
      </w:r>
      <w:r>
        <w:rPr>
          <w:rFonts w:hint="eastAsia" w:ascii="仿宋" w:hAnsi="仿宋" w:eastAsia="仿宋" w:cs="仿宋"/>
          <w:color w:val="333333"/>
          <w:sz w:val="32"/>
        </w:rPr>
        <w:t xml:space="preserve"> 在</w:t>
      </w:r>
      <w:r>
        <w:rPr>
          <w:rFonts w:hint="eastAsia" w:ascii="仿宋" w:hAnsi="仿宋" w:eastAsia="仿宋" w:cs="仿宋"/>
          <w:color w:val="333333"/>
          <w:sz w:val="32"/>
          <w:lang w:eastAsia="zh-CN"/>
        </w:rPr>
        <w:t>项目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 w:bidi="ar-SA"/>
        </w:rPr>
        <w:t>用地拟占用林地和草地手续申报过程中，经济发展局、规划分局、社会事务局提供所需资料，以保障项目工作顺利推进。</w:t>
      </w:r>
    </w:p>
    <w:p w14:paraId="1E19B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第十三条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依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照林地和草地手续容缺受理方式，资源环境局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应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同步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推进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项目用地农用地转用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报批工作，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土地批复前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  <w:t>取得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项目使用林地审核同意书和项目征收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使用草原行政许可决定</w:t>
      </w:r>
      <w:r>
        <w:rPr>
          <w:rFonts w:hint="eastAsia" w:ascii="仿宋" w:hAnsi="仿宋" w:eastAsia="仿宋" w:cs="仿宋"/>
          <w:sz w:val="32"/>
        </w:rPr>
        <w:t>文件。</w:t>
      </w:r>
    </w:p>
    <w:p w14:paraId="62782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</w:p>
    <w:p w14:paraId="7DBD9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333333"/>
          <w:sz w:val="32"/>
          <w:highlight w:val="yellow"/>
        </w:rPr>
      </w:pPr>
      <w:r>
        <w:rPr>
          <w:rFonts w:hint="eastAsia" w:ascii="黑体" w:hAnsi="黑体" w:eastAsia="黑体" w:cs="黑体"/>
          <w:color w:val="333333"/>
          <w:sz w:val="32"/>
        </w:rPr>
        <w:t>第五章 费用使用</w:t>
      </w:r>
    </w:p>
    <w:p w14:paraId="7C78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ascii="Times New Roman" w:eastAsia="仿宋_GB2312"/>
          <w:color w:val="FF0000"/>
          <w:sz w:val="32"/>
        </w:rPr>
      </w:pPr>
    </w:p>
    <w:p w14:paraId="0AE2EF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</w:rPr>
        <w:t>条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涉及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植被恢复费、林地和草地勘测、使用林地可行性报告及林木采伐作业设计报告费用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立项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及可研等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相关费用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由资源环境局纳入年度预算，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报财政部门审定。</w:t>
      </w:r>
    </w:p>
    <w:p w14:paraId="1351E8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</w:rPr>
        <w:t>第十五条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经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自治区林草局审核后，需要缴纳的林地和草地植被恢复费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由立项单位出具专款专用承诺书并填报资金审批单，报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送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资源环境局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资源环境局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将相关林地草地植被恢复费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划转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至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立项单位，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专项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用于缴纳林地或草地植被恢复费用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。</w:t>
      </w:r>
    </w:p>
    <w:p w14:paraId="1217D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</w:rPr>
        <w:t>第十六条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林地或草地植被恢复费用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以及林地和草地勘测、使用林地可行性报告及林木采伐作业设计报告费等相关费用，全部纳入出让土地成本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在核定土地出让地价中一并核算计入。</w:t>
      </w:r>
    </w:p>
    <w:p w14:paraId="07B26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</w:rPr>
        <w:t>条</w:t>
      </w:r>
      <w:r>
        <w:rPr>
          <w:rFonts w:hint="eastAsia" w:ascii="仿宋" w:hAnsi="仿宋" w:eastAsia="仿宋" w:cs="仿宋"/>
          <w:color w:val="000000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本办法自印发之日起开始执行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有效期2年。</w:t>
      </w:r>
    </w:p>
    <w:p w14:paraId="738C5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32"/>
        </w:rPr>
        <w:t>条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lang w:val="en-US" w:eastAsia="zh-CN"/>
        </w:rPr>
        <w:t>本办法由区</w:t>
      </w:r>
      <w:r>
        <w:rPr>
          <w:rFonts w:hint="eastAsia" w:ascii="仿宋" w:hAnsi="仿宋" w:eastAsia="仿宋" w:cs="仿宋"/>
          <w:color w:val="333333"/>
          <w:kern w:val="0"/>
          <w:sz w:val="32"/>
          <w:lang w:val="en-US" w:eastAsia="zh-CN"/>
        </w:rPr>
        <w:t>资源环境局负责解释。</w:t>
      </w:r>
    </w:p>
    <w:p w14:paraId="42291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2"/>
        </w:rPr>
        <w:t>第十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</w:rPr>
        <w:t>条</w:t>
      </w:r>
      <w:r>
        <w:rPr>
          <w:rFonts w:hint="eastAsia" w:ascii="仿宋" w:hAnsi="仿宋" w:eastAsia="仿宋" w:cs="仿宋"/>
          <w:color w:val="000000"/>
          <w:sz w:val="32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本办法实施过程中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如遇与国家、自治区、包头市政策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存在冲突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以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上级政策文件规定</w:t>
      </w:r>
      <w:r>
        <w:rPr>
          <w:rFonts w:hint="eastAsia" w:ascii="仿宋" w:hAnsi="仿宋" w:eastAsia="仿宋" w:cs="仿宋"/>
          <w:color w:val="333333"/>
          <w:kern w:val="0"/>
          <w:sz w:val="32"/>
          <w:lang w:eastAsia="zh-CN"/>
        </w:rPr>
        <w:t>为准</w:t>
      </w:r>
      <w:r>
        <w:rPr>
          <w:rFonts w:hint="eastAsia" w:ascii="仿宋" w:hAnsi="仿宋" w:eastAsia="仿宋" w:cs="仿宋"/>
          <w:color w:val="333333"/>
          <w:kern w:val="0"/>
          <w:sz w:val="32"/>
        </w:rPr>
        <w:t>。</w:t>
      </w:r>
      <w:bookmarkStart w:id="3" w:name="_GoBack"/>
      <w:bookmarkEnd w:id="3"/>
    </w:p>
    <w:sectPr>
      <w:pgSz w:w="11907" w:h="16840"/>
      <w:pgMar w:top="1440" w:right="1588" w:bottom="1440" w:left="158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760B7"/>
    <w:multiLevelType w:val="multilevel"/>
    <w:tmpl w:val="275760B7"/>
    <w:lvl w:ilvl="0" w:tentative="0">
      <w:start w:val="1"/>
      <w:numFmt w:val="japaneseCounting"/>
      <w:lvlText w:val="（%1）"/>
      <w:lvlJc w:val="left"/>
      <w:pPr>
        <w:ind w:left="1422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FA"/>
    <w:rsid w:val="00061F58"/>
    <w:rsid w:val="000E6831"/>
    <w:rsid w:val="00152970"/>
    <w:rsid w:val="001A3700"/>
    <w:rsid w:val="0025096B"/>
    <w:rsid w:val="002C1008"/>
    <w:rsid w:val="002F1222"/>
    <w:rsid w:val="003511AF"/>
    <w:rsid w:val="00354FC5"/>
    <w:rsid w:val="003A7879"/>
    <w:rsid w:val="00433240"/>
    <w:rsid w:val="00461719"/>
    <w:rsid w:val="00484EF0"/>
    <w:rsid w:val="004D2115"/>
    <w:rsid w:val="004E0EA6"/>
    <w:rsid w:val="004E1D1B"/>
    <w:rsid w:val="00516EA9"/>
    <w:rsid w:val="00553D80"/>
    <w:rsid w:val="00587662"/>
    <w:rsid w:val="005B7C63"/>
    <w:rsid w:val="005C11BE"/>
    <w:rsid w:val="00643E8C"/>
    <w:rsid w:val="00692B5B"/>
    <w:rsid w:val="00701421"/>
    <w:rsid w:val="00747A29"/>
    <w:rsid w:val="008326FA"/>
    <w:rsid w:val="008C478D"/>
    <w:rsid w:val="0097066B"/>
    <w:rsid w:val="00994F47"/>
    <w:rsid w:val="009C7C68"/>
    <w:rsid w:val="00A654C5"/>
    <w:rsid w:val="00A94D2F"/>
    <w:rsid w:val="00AB2E88"/>
    <w:rsid w:val="00AC0B59"/>
    <w:rsid w:val="00BC7032"/>
    <w:rsid w:val="00C60BD8"/>
    <w:rsid w:val="00D12863"/>
    <w:rsid w:val="00D56D20"/>
    <w:rsid w:val="00DA444E"/>
    <w:rsid w:val="00E40D01"/>
    <w:rsid w:val="00E563E4"/>
    <w:rsid w:val="00E764D2"/>
    <w:rsid w:val="00E80523"/>
    <w:rsid w:val="00EF1085"/>
    <w:rsid w:val="00F035D7"/>
    <w:rsid w:val="00F25C98"/>
    <w:rsid w:val="00F8275D"/>
    <w:rsid w:val="00FB56F7"/>
    <w:rsid w:val="01087D82"/>
    <w:rsid w:val="031428A1"/>
    <w:rsid w:val="0398607A"/>
    <w:rsid w:val="049316B7"/>
    <w:rsid w:val="067D7F08"/>
    <w:rsid w:val="07A146DE"/>
    <w:rsid w:val="098506D5"/>
    <w:rsid w:val="0C7233A0"/>
    <w:rsid w:val="10096D17"/>
    <w:rsid w:val="10F5208A"/>
    <w:rsid w:val="12E9198D"/>
    <w:rsid w:val="139B1331"/>
    <w:rsid w:val="18283F3F"/>
    <w:rsid w:val="1B986AAD"/>
    <w:rsid w:val="1D764199"/>
    <w:rsid w:val="204F507B"/>
    <w:rsid w:val="217E1FE5"/>
    <w:rsid w:val="22267A7B"/>
    <w:rsid w:val="238416CC"/>
    <w:rsid w:val="24423706"/>
    <w:rsid w:val="25FA41CC"/>
    <w:rsid w:val="268B4912"/>
    <w:rsid w:val="2B803CB4"/>
    <w:rsid w:val="2C0252B3"/>
    <w:rsid w:val="2DD724C3"/>
    <w:rsid w:val="2E495EF2"/>
    <w:rsid w:val="2F3B0BAF"/>
    <w:rsid w:val="303352ED"/>
    <w:rsid w:val="30FC26A6"/>
    <w:rsid w:val="340E742A"/>
    <w:rsid w:val="393B2E8C"/>
    <w:rsid w:val="3AD65514"/>
    <w:rsid w:val="40E60955"/>
    <w:rsid w:val="41D67795"/>
    <w:rsid w:val="45FE52D5"/>
    <w:rsid w:val="46203AB8"/>
    <w:rsid w:val="4CC639FF"/>
    <w:rsid w:val="4E4113C3"/>
    <w:rsid w:val="4FD702BA"/>
    <w:rsid w:val="52566047"/>
    <w:rsid w:val="53E50AF2"/>
    <w:rsid w:val="544C525F"/>
    <w:rsid w:val="562077A0"/>
    <w:rsid w:val="5BF447B8"/>
    <w:rsid w:val="5E216381"/>
    <w:rsid w:val="672D71C2"/>
    <w:rsid w:val="67A77BA5"/>
    <w:rsid w:val="69A72E26"/>
    <w:rsid w:val="6CC26382"/>
    <w:rsid w:val="6DB46F76"/>
    <w:rsid w:val="6DB901C5"/>
    <w:rsid w:val="71C4223B"/>
    <w:rsid w:val="75AD5CBB"/>
    <w:rsid w:val="75B93178"/>
    <w:rsid w:val="76B42F8D"/>
    <w:rsid w:val="7A5F0FE5"/>
    <w:rsid w:val="7C8F240D"/>
    <w:rsid w:val="7C9C3145"/>
    <w:rsid w:val="7CF96639"/>
    <w:rsid w:val="7DCB4728"/>
    <w:rsid w:val="7E055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iPriority w:val="0"/>
    <w:pPr>
      <w:spacing w:before="100" w:beforeAutospacing="1" w:after="100" w:afterAutospacing="1"/>
      <w:ind w:firstLine="480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10">
    <w:name w:val="页脚 字符"/>
    <w:link w:val="5"/>
    <w:uiPriority w:val="99"/>
    <w:rPr>
      <w:rFonts w:ascii="宋体"/>
      <w:kern w:val="2"/>
      <w:sz w:val="18"/>
      <w:szCs w:val="18"/>
    </w:rPr>
  </w:style>
  <w:style w:type="character" w:customStyle="1" w:styleId="11">
    <w:name w:val="页眉 字符"/>
    <w:link w:val="6"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4</Pages>
  <Words>1852</Words>
  <Characters>1854</Characters>
  <Lines>13</Lines>
  <Paragraphs>3</Paragraphs>
  <TotalTime>343</TotalTime>
  <ScaleCrop>false</ScaleCrop>
  <LinksUpToDate>false</LinksUpToDate>
  <CharactersWithSpaces>1904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2015-03-17T03:48:00Z</dcterms:created>
  <dc:creator>123</dc:creator>
  <cp:lastModifiedBy>高磊</cp:lastModifiedBy>
  <cp:lastPrinted>2025-02-21T03:57:00Z</cp:lastPrinted>
  <dcterms:modified xsi:type="dcterms:W3CDTF">2026-05-21T09:13:05Z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50707EBE11F14D9E9BD8EAAE77CA6527_13</vt:lpwstr>
  </property>
  <property fmtid="{D5CDD505-2E9C-101B-9397-08002B2CF9AE}" pid="4" name="KSOTemplateDocerSaveRecord">
    <vt:lpwstr>eyJoZGlkIjoiODk0NTU1NjUzMWZkNTllZDNlYzNkYjU2YjE1NjZhMTQiLCJ1c2VySWQiOiIxNDQ5MDM5ODI5In0=</vt:lpwstr>
  </property>
</Properties>
</file>