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302CD">
      <w:pPr>
        <w:keepNext w:val="0"/>
        <w:keepLines w:val="0"/>
        <w:pageBreakBefore w:val="0"/>
        <w:widowControl/>
        <w:kinsoku/>
        <w:wordWrap/>
        <w:overflowPunct/>
        <w:topLinePunct/>
        <w:autoSpaceDE/>
        <w:autoSpaceDN/>
        <w:bidi w:val="0"/>
        <w:adjustRightInd w:val="0"/>
        <w:snapToGrid w:val="0"/>
        <w:spacing w:line="560" w:lineRule="exact"/>
        <w:ind w:left="0" w:right="0"/>
        <w:jc w:val="center"/>
        <w:textAlignment w:val="baseline"/>
        <w:outlineLvl w:val="0"/>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包头稀土高新区</w:t>
      </w:r>
    </w:p>
    <w:p w14:paraId="6037E1D5">
      <w:pPr>
        <w:keepNext w:val="0"/>
        <w:keepLines w:val="0"/>
        <w:pageBreakBefore w:val="0"/>
        <w:widowControl/>
        <w:kinsoku/>
        <w:wordWrap/>
        <w:overflowPunct/>
        <w:topLinePunct/>
        <w:autoSpaceDE/>
        <w:autoSpaceDN/>
        <w:bidi w:val="0"/>
        <w:adjustRightInd w:val="0"/>
        <w:snapToGrid w:val="0"/>
        <w:spacing w:line="560" w:lineRule="exact"/>
        <w:ind w:left="0" w:right="0"/>
        <w:jc w:val="center"/>
        <w:textAlignment w:val="baseline"/>
        <w:outlineLvl w:val="0"/>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实施“一区多园”联动发展</w:t>
      </w:r>
    </w:p>
    <w:p w14:paraId="53031AB6">
      <w:pPr>
        <w:keepNext w:val="0"/>
        <w:keepLines w:val="0"/>
        <w:pageBreakBefore w:val="0"/>
        <w:widowControl/>
        <w:kinsoku/>
        <w:wordWrap/>
        <w:overflowPunct/>
        <w:topLinePunct/>
        <w:autoSpaceDE/>
        <w:autoSpaceDN/>
        <w:bidi w:val="0"/>
        <w:adjustRightInd w:val="0"/>
        <w:snapToGrid w:val="0"/>
        <w:spacing w:line="560" w:lineRule="exact"/>
        <w:ind w:left="0" w:right="0"/>
        <w:jc w:val="center"/>
        <w:textAlignment w:val="baseline"/>
        <w:outlineLvl w:val="0"/>
        <w:rPr>
          <w:rFonts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val="0"/>
          <w:bCs w:val="0"/>
          <w:spacing w:val="0"/>
          <w:sz w:val="44"/>
          <w:szCs w:val="44"/>
        </w:rPr>
        <w:t>支持企业技术创新奖励办法</w:t>
      </w:r>
    </w:p>
    <w:p w14:paraId="3E060F40">
      <w:pPr>
        <w:keepNext w:val="0"/>
        <w:keepLines w:val="0"/>
        <w:pageBreakBefore w:val="0"/>
        <w:widowControl/>
        <w:kinsoku/>
        <w:wordWrap/>
        <w:overflowPunct/>
        <w:topLinePunct/>
        <w:autoSpaceDE/>
        <w:autoSpaceDN/>
        <w:bidi w:val="0"/>
        <w:adjustRightInd w:val="0"/>
        <w:snapToGrid w:val="0"/>
        <w:spacing w:line="560" w:lineRule="exact"/>
        <w:ind w:left="0" w:right="0"/>
        <w:jc w:val="both"/>
        <w:textAlignment w:val="baseline"/>
        <w:rPr>
          <w:rFonts w:ascii="Arial"/>
          <w:spacing w:val="0"/>
          <w:sz w:val="21"/>
        </w:rPr>
      </w:pPr>
    </w:p>
    <w:p w14:paraId="5CB70027">
      <w:pPr>
        <w:pStyle w:val="5"/>
        <w:keepNext w:val="0"/>
        <w:keepLines w:val="0"/>
        <w:pageBreakBefore w:val="0"/>
        <w:widowControl/>
        <w:suppressLineNumbers w:val="0"/>
        <w:overflowPunct/>
        <w:bidi w:val="0"/>
        <w:adjustRightInd w:val="0"/>
        <w:snapToGrid w:val="0"/>
        <w:spacing w:before="0" w:beforeAutospacing="0" w:afterAutospacing="0" w:line="560" w:lineRule="exact"/>
        <w:ind w:left="0" w:firstLine="640" w:firstLineChars="200"/>
        <w:textAlignment w:val="baseline"/>
        <w:rPr>
          <w:rFonts w:hint="eastAsia" w:ascii="仿宋_GB2312" w:hAnsi="仿宋_GB2312" w:eastAsia="仿宋_GB2312" w:cs="仿宋_GB2312"/>
          <w:snapToGrid w:val="0"/>
          <w:color w:val="000000"/>
          <w:spacing w:val="0"/>
          <w:kern w:val="0"/>
          <w:sz w:val="32"/>
          <w:szCs w:val="32"/>
          <w:lang w:val="en-US" w:eastAsia="zh-CN" w:bidi="ar"/>
        </w:rPr>
      </w:pPr>
      <w:r>
        <w:rPr>
          <w:rFonts w:hint="eastAsia" w:ascii="黑体" w:hAnsi="黑体" w:eastAsia="黑体" w:cs="黑体"/>
          <w:snapToGrid w:val="0"/>
          <w:color w:val="000000"/>
          <w:spacing w:val="0"/>
          <w:kern w:val="0"/>
          <w:sz w:val="32"/>
          <w:szCs w:val="32"/>
          <w:lang w:val="en-US" w:eastAsia="zh-CN" w:bidi="ar"/>
        </w:rPr>
        <w:t>第一条</w:t>
      </w:r>
      <w:r>
        <w:rPr>
          <w:rFonts w:hint="eastAsia" w:ascii="仿宋_GB2312" w:hAnsi="仿宋_GB2312" w:eastAsia="仿宋_GB2312" w:cs="仿宋_GB2312"/>
          <w:snapToGrid w:val="0"/>
          <w:color w:val="000000"/>
          <w:spacing w:val="0"/>
          <w:kern w:val="0"/>
          <w:sz w:val="32"/>
          <w:szCs w:val="32"/>
          <w:lang w:val="en-US" w:eastAsia="zh-CN" w:bidi="ar"/>
        </w:rPr>
        <w:t xml:space="preserve">  为更好实施稀土高新区一区多园联动发展，提高企业自主创新能力，提升稀土及相关高新技术产业能级，有力支撑全市加快建设“世界稀土之都”，特制定此办法。</w:t>
      </w:r>
    </w:p>
    <w:p w14:paraId="5C65D533">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
        </w:rPr>
        <w:t>第二条</w:t>
      </w:r>
      <w:r>
        <w:rPr>
          <w:rFonts w:hint="eastAsia" w:ascii="仿宋_GB2312" w:hAnsi="仿宋_GB2312" w:eastAsia="仿宋_GB2312" w:cs="仿宋_GB2312"/>
          <w:snapToGrid w:val="0"/>
          <w:color w:val="000000"/>
          <w:spacing w:val="0"/>
          <w:kern w:val="0"/>
          <w:sz w:val="32"/>
          <w:szCs w:val="32"/>
          <w:lang w:val="en-US" w:eastAsia="zh-CN" w:bidi="ar-SA"/>
        </w:rPr>
        <w:t xml:space="preserve">  </w:t>
      </w:r>
      <w:r>
        <w:rPr>
          <w:rFonts w:hint="eastAsia" w:ascii="仿宋_GB2312" w:hAnsi="仿宋_GB2312" w:eastAsia="仿宋_GB2312" w:cs="仿宋_GB2312"/>
          <w:snapToGrid w:val="0"/>
          <w:color w:val="000000"/>
          <w:spacing w:val="0"/>
          <w:kern w:val="0"/>
          <w:sz w:val="32"/>
          <w:szCs w:val="32"/>
          <w:lang w:val="en-US" w:eastAsia="en-US" w:bidi="ar-SA"/>
        </w:rPr>
        <w:t>奖励范围及资金性质。奖励范围为稀土高新区政策辐射区，包括稀土高新区创新集聚区（昆区片区和青山片区）、昆区金属深加工园区、青山装备制造园区、九原工业园区及东河羊绒产业园。奖励在稀土高新区政策辐射区内注册并依法纳税的企事业单位。办法涉及的奖励资金均为后补助奖励资金。</w:t>
      </w:r>
    </w:p>
    <w:p w14:paraId="19BFC8D5">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
        </w:rPr>
        <w:t>第三条</w:t>
      </w:r>
      <w:r>
        <w:rPr>
          <w:rFonts w:hint="eastAsia" w:ascii="仿宋_GB2312" w:hAnsi="仿宋_GB2312" w:eastAsia="仿宋_GB2312" w:cs="仿宋_GB2312"/>
          <w:snapToGrid w:val="0"/>
          <w:color w:val="000000"/>
          <w:spacing w:val="0"/>
          <w:kern w:val="0"/>
          <w:sz w:val="32"/>
          <w:szCs w:val="32"/>
          <w:lang w:val="en-US" w:eastAsia="zh-CN" w:bidi="ar-SA"/>
        </w:rPr>
        <w:t xml:space="preserve">  </w:t>
      </w:r>
      <w:r>
        <w:rPr>
          <w:rFonts w:hint="eastAsia" w:ascii="仿宋_GB2312" w:hAnsi="仿宋_GB2312" w:eastAsia="仿宋_GB2312" w:cs="仿宋_GB2312"/>
          <w:snapToGrid w:val="0"/>
          <w:color w:val="000000"/>
          <w:spacing w:val="0"/>
          <w:kern w:val="0"/>
          <w:sz w:val="32"/>
          <w:szCs w:val="32"/>
          <w:lang w:val="en-US" w:eastAsia="en-US" w:bidi="ar-SA"/>
        </w:rPr>
        <w:t>支持及奖励种类</w:t>
      </w:r>
    </w:p>
    <w:p w14:paraId="59729295">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（一）研发机构建设奖励：支持专门从事高新技术研发的，具有一定规模的专业机构，包括研发中心、重点实验室、院士工作站等。</w:t>
      </w:r>
    </w:p>
    <w:p w14:paraId="334EADDF">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（二）科技创新创业人才计划项目奖励：培育青年科技创新领军人才、重点领域创新团队、科技创新创业人才等，择优推荐申报国家创新人才培育计划。</w:t>
      </w:r>
    </w:p>
    <w:p w14:paraId="0D7B1460">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（三）国家级高新技术企业认定奖励：鼓励企业申报认定国家级高新技术企业。</w:t>
      </w:r>
    </w:p>
    <w:p w14:paraId="33170A6C">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（四）科技型中小企业认定奖励：鼓励企业申报认定科技型中小企业。</w:t>
      </w:r>
    </w:p>
    <w:p w14:paraId="65D78095">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（五）瞪羚企业认定奖励：引导企业快速成长，鼓励企业申报认定瞪羚企业。</w:t>
      </w:r>
    </w:p>
    <w:p w14:paraId="255A76F9">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（六）稀土产业关键技术攻关和重大科技成果转化奖励：鼓励以企业为龙头整合各类创新资源开展稀土产业卡脖子技术研发，转化稀土国家重大科技成果。</w:t>
      </w:r>
    </w:p>
    <w:p w14:paraId="4150433C">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
        </w:rPr>
        <w:t>第四条</w:t>
      </w:r>
      <w:r>
        <w:rPr>
          <w:rFonts w:hint="eastAsia" w:ascii="仿宋_GB2312" w:hAnsi="仿宋_GB2312" w:eastAsia="仿宋_GB2312" w:cs="仿宋_GB2312"/>
          <w:snapToGrid w:val="0"/>
          <w:color w:val="000000"/>
          <w:spacing w:val="0"/>
          <w:kern w:val="0"/>
          <w:sz w:val="32"/>
          <w:szCs w:val="32"/>
          <w:lang w:val="en-US" w:eastAsia="zh-CN" w:bidi="ar-SA"/>
        </w:rPr>
        <w:t xml:space="preserve">  </w:t>
      </w:r>
      <w:r>
        <w:rPr>
          <w:rFonts w:hint="eastAsia" w:ascii="仿宋_GB2312" w:hAnsi="仿宋_GB2312" w:eastAsia="仿宋_GB2312" w:cs="仿宋_GB2312"/>
          <w:snapToGrid w:val="0"/>
          <w:color w:val="000000"/>
          <w:spacing w:val="0"/>
          <w:kern w:val="0"/>
          <w:sz w:val="32"/>
          <w:szCs w:val="32"/>
          <w:lang w:val="en-US" w:eastAsia="en-US" w:bidi="ar-SA"/>
        </w:rPr>
        <w:t>认定为自治区级重点实验室、院士工作站的，一次性给予10至20万元奖励资金（规上企业奖励20万元、规下企业奖励10万元）；对于研发中心升级为国家级或自治区级的，一次性分别给予5至20万元的奖励资金（规上企业按20万元、10万元进行奖励,规下企业按10万元、5万元进行奖励，同一研发中心申报同一级别不同类型的研发创新平台只奖励一次）。</w:t>
      </w:r>
    </w:p>
    <w:p w14:paraId="57E6FEF5">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
        </w:rPr>
        <w:t>第五条</w:t>
      </w:r>
      <w:r>
        <w:rPr>
          <w:rFonts w:hint="eastAsia" w:ascii="仿宋_GB2312" w:hAnsi="仿宋_GB2312" w:eastAsia="仿宋_GB2312" w:cs="仿宋_GB2312"/>
          <w:snapToGrid w:val="0"/>
          <w:color w:val="000000"/>
          <w:spacing w:val="0"/>
          <w:kern w:val="0"/>
          <w:sz w:val="32"/>
          <w:szCs w:val="32"/>
          <w:lang w:val="en-US" w:eastAsia="zh-CN" w:bidi="ar-SA"/>
        </w:rPr>
        <w:t xml:space="preserve">  </w:t>
      </w:r>
      <w:r>
        <w:rPr>
          <w:rFonts w:hint="eastAsia" w:ascii="仿宋_GB2312" w:hAnsi="仿宋_GB2312" w:eastAsia="仿宋_GB2312" w:cs="仿宋_GB2312"/>
          <w:snapToGrid w:val="0"/>
          <w:color w:val="000000"/>
          <w:spacing w:val="0"/>
          <w:kern w:val="0"/>
          <w:sz w:val="32"/>
          <w:szCs w:val="32"/>
          <w:lang w:val="en-US" w:eastAsia="en-US" w:bidi="ar-SA"/>
        </w:rPr>
        <w:t>科技创新创业人才计划项目奖励。对符合以下条件并通过评审的稀土高新区一区多园中青年科技创新领军人才、重点领域创新团队、科技创新创业人才，分别给予其所承担的科技创新项目10万元的后补助奖励资金。</w:t>
      </w:r>
    </w:p>
    <w:p w14:paraId="6AD94E73">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（一）中青年科技创新领军人才应具备以下条件：</w:t>
      </w:r>
    </w:p>
    <w:p w14:paraId="538ACC3A">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1.研究方向符合科技前沿发展趋势或属于战略性新兴产业领域，年龄不超过45周岁，具有博士学位或副高级以上职称(企业科技人才可不受职称限制，并适当放宽学历要求)。</w:t>
      </w:r>
    </w:p>
    <w:p w14:paraId="367659EE">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2.已取得高水平创新性成果，在所在行业或领域业绩突出，具有较大的创新发展潜力。</w:t>
      </w:r>
    </w:p>
    <w:p w14:paraId="426D0E14">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3.具有较强的科研领军才能和团队组织管理能力，且为全职工作人员；从海外引进的，须回国工作2年以上。</w:t>
      </w:r>
    </w:p>
    <w:p w14:paraId="68A4CF3C">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（二）重点领域创新团队应具备以下条件：</w:t>
      </w:r>
    </w:p>
    <w:p w14:paraId="3259160F">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1.团队研究方向符合稀土高新区一区多园重点发展需求，团队承担重大科研项目、重点工程、重点研发任务，有明确的研发目标和发展规划。</w:t>
      </w:r>
    </w:p>
    <w:p w14:paraId="033D7F6F">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2.团队创新业绩突出，研发水平居行业或领域前列，并具有持续创新能力和较好的发展前景。</w:t>
      </w:r>
    </w:p>
    <w:p w14:paraId="3E291B70">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3.团队结构稳定、合理，核心成员一般不少于5人、不超过15人，可跨单位协作。团队负责人年龄不超过50周岁，并同时符合中青年科技创新领军人才的其他基本条件。</w:t>
      </w:r>
    </w:p>
    <w:p w14:paraId="6528BE0D">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（三）科技创新创业人才应具备以下条件：</w:t>
      </w:r>
    </w:p>
    <w:p w14:paraId="75C89475">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1.申报人为企业主要创办者和实际控制人(为企业第一大股东或法定代表人)，企业依法经营，创办时间2年以上，具有较好的经营业绩、成长性和创新能力。</w:t>
      </w:r>
    </w:p>
    <w:p w14:paraId="6D77814F">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2.企业拥有核心技术和自主知识产权，至少拥有1项与主营业务相关的发明专利，具有特色产品或创新性商业模式，技术水平在行业中处于领先地位。</w:t>
      </w:r>
    </w:p>
    <w:p w14:paraId="020DBD11">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3.企业应具备良好的盈利能力和市场前景;创办5年以上的企业，最近2年净利润累计不少于500万元。</w:t>
      </w:r>
    </w:p>
    <w:p w14:paraId="43AE0C90">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
        </w:rPr>
        <w:t>第六条</w:t>
      </w:r>
      <w:r>
        <w:rPr>
          <w:rFonts w:hint="eastAsia" w:ascii="黑体" w:hAnsi="黑体" w:eastAsia="黑体" w:cs="黑体"/>
          <w:snapToGrid w:val="0"/>
          <w:color w:val="000000"/>
          <w:spacing w:val="0"/>
          <w:kern w:val="0"/>
          <w:sz w:val="32"/>
          <w:szCs w:val="32"/>
          <w:lang w:val="en-US" w:eastAsia="zh-CN" w:bidi="ar"/>
        </w:rPr>
        <w:t xml:space="preserve"> </w:t>
      </w:r>
      <w:r>
        <w:rPr>
          <w:rFonts w:hint="eastAsia" w:ascii="仿宋_GB2312" w:hAnsi="仿宋_GB2312" w:eastAsia="仿宋_GB2312" w:cs="仿宋_GB2312"/>
          <w:snapToGrid w:val="0"/>
          <w:color w:val="000000"/>
          <w:spacing w:val="0"/>
          <w:kern w:val="0"/>
          <w:sz w:val="32"/>
          <w:szCs w:val="32"/>
          <w:lang w:val="en-US" w:eastAsia="en-US" w:bidi="ar-SA"/>
        </w:rPr>
        <w:t xml:space="preserve"> 国家级高新技术企业认定奖励。企业认定成为国家级高新技术企业后，一次性给予规模以上企业5万元励资金，一次性给予规模以下企业3万元奖励资金。</w:t>
      </w:r>
    </w:p>
    <w:p w14:paraId="4F636051">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
        </w:rPr>
        <w:t>第七条</w:t>
      </w:r>
      <w:r>
        <w:rPr>
          <w:rFonts w:hint="eastAsia" w:ascii="仿宋_GB2312" w:hAnsi="仿宋_GB2312" w:eastAsia="仿宋_GB2312" w:cs="仿宋_GB2312"/>
          <w:snapToGrid w:val="0"/>
          <w:color w:val="000000"/>
          <w:spacing w:val="0"/>
          <w:kern w:val="0"/>
          <w:sz w:val="32"/>
          <w:szCs w:val="32"/>
          <w:lang w:val="en-US" w:eastAsia="zh-CN" w:bidi="ar-SA"/>
        </w:rPr>
        <w:t xml:space="preserve">  </w:t>
      </w:r>
      <w:r>
        <w:rPr>
          <w:rFonts w:hint="eastAsia" w:ascii="仿宋_GB2312" w:hAnsi="仿宋_GB2312" w:eastAsia="仿宋_GB2312" w:cs="仿宋_GB2312"/>
          <w:snapToGrid w:val="0"/>
          <w:color w:val="000000"/>
          <w:spacing w:val="0"/>
          <w:kern w:val="0"/>
          <w:sz w:val="32"/>
          <w:szCs w:val="32"/>
          <w:lang w:val="en-US" w:eastAsia="en-US" w:bidi="ar-SA"/>
        </w:rPr>
        <w:t>科技型中小企业认定奖励。企业认定成为科技型中小企业后，一次性给予规模以上企业2万元奖励资金，一次性给予规模以下企业1万元奖励资金。</w:t>
      </w:r>
    </w:p>
    <w:p w14:paraId="0365302E">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
        </w:rPr>
        <w:t>第八条</w:t>
      </w:r>
      <w:r>
        <w:rPr>
          <w:rFonts w:hint="eastAsia" w:ascii="仿宋_GB2312" w:hAnsi="仿宋_GB2312" w:eastAsia="仿宋_GB2312" w:cs="仿宋_GB2312"/>
          <w:snapToGrid w:val="0"/>
          <w:color w:val="000000"/>
          <w:spacing w:val="0"/>
          <w:kern w:val="0"/>
          <w:sz w:val="32"/>
          <w:szCs w:val="32"/>
          <w:lang w:val="en-US" w:eastAsia="zh-CN" w:bidi="ar-SA"/>
        </w:rPr>
        <w:t xml:space="preserve">  </w:t>
      </w:r>
      <w:r>
        <w:rPr>
          <w:rFonts w:hint="eastAsia" w:ascii="仿宋_GB2312" w:hAnsi="仿宋_GB2312" w:eastAsia="仿宋_GB2312" w:cs="仿宋_GB2312"/>
          <w:snapToGrid w:val="0"/>
          <w:color w:val="000000"/>
          <w:spacing w:val="0"/>
          <w:kern w:val="0"/>
          <w:sz w:val="32"/>
          <w:szCs w:val="32"/>
          <w:lang w:val="en-US" w:eastAsia="en-US" w:bidi="ar-SA"/>
        </w:rPr>
        <w:t>瞪羚企业认定条件及奖励金额</w:t>
      </w:r>
    </w:p>
    <w:p w14:paraId="2CB7BB7C">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snapToGrid w:val="0"/>
          <w:color w:val="000000"/>
          <w:spacing w:val="0"/>
          <w:kern w:val="0"/>
          <w:sz w:val="32"/>
          <w:szCs w:val="32"/>
          <w:lang w:val="en-US" w:eastAsia="en-US" w:bidi="ar-SA"/>
        </w:rPr>
      </w:pPr>
      <w:r>
        <w:rPr>
          <w:rFonts w:hint="eastAsia" w:ascii="仿宋_GB2312" w:hAnsi="仿宋_GB2312" w:eastAsia="仿宋_GB2312" w:cs="仿宋_GB2312"/>
          <w:b w:val="0"/>
          <w:bCs/>
          <w:snapToGrid w:val="0"/>
          <w:color w:val="000000"/>
          <w:spacing w:val="0"/>
          <w:kern w:val="0"/>
          <w:sz w:val="32"/>
          <w:szCs w:val="32"/>
          <w:lang w:val="en-US" w:eastAsia="en-US" w:bidi="ar-SA"/>
        </w:rPr>
        <w:t>（一）认定条件</w:t>
      </w:r>
    </w:p>
    <w:p w14:paraId="4FE68CA1">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1.具有独立法人资格并依法纳税，且符合《国家高新技术领域》的企业。</w:t>
      </w:r>
    </w:p>
    <w:p w14:paraId="0A5EF4A0">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2.企业应成立五年（五个会计年度）以上，生产经营和信用情况良好，无违法记录、无重大安全事故。</w:t>
      </w:r>
    </w:p>
    <w:p w14:paraId="5835BF42">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3.工业企业：上年度总收入在2000万元至1亿元的企业，近四年收入复合增长率达到30%或利润复合增长率达到30%;上年度总收入在1亿至5亿的企业，近四年收入复合增长率达到25%或利润复合增长率达到25%;上年度总收入在5亿元及以上的企业，近四年收入复合增长率达到20%或利润复合增长率达到20%。</w:t>
      </w:r>
    </w:p>
    <w:p w14:paraId="41A332CE">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服务业企业：上年度总收入在500万元至2000万元的企业，近四年收入复合增长率达到30%或利润复合增长率达到30%;上年度总收入在2000万元至1亿的企业，近四年收入复合增长率达到25%或利润复合增长率达到25%;上年度总收入在亿元及以上的企业，近四年收入复合增长率达到20%或利润复合增长率达到20%。</w:t>
      </w:r>
    </w:p>
    <w:p w14:paraId="15D02EF7">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4.认定成为国家高新技术企业，并建有自治区级企业研发平台（研发中心、重点实验室、院士工作站等平台）</w:t>
      </w:r>
    </w:p>
    <w:p w14:paraId="54C5E565">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snapToGrid w:val="0"/>
          <w:color w:val="000000"/>
          <w:spacing w:val="0"/>
          <w:kern w:val="0"/>
          <w:sz w:val="32"/>
          <w:szCs w:val="32"/>
          <w:lang w:val="en-US" w:eastAsia="en-US" w:bidi="ar-SA"/>
        </w:rPr>
      </w:pPr>
      <w:r>
        <w:rPr>
          <w:rFonts w:hint="eastAsia" w:ascii="仿宋_GB2312" w:hAnsi="仿宋_GB2312" w:eastAsia="仿宋_GB2312" w:cs="仿宋_GB2312"/>
          <w:b w:val="0"/>
          <w:bCs/>
          <w:snapToGrid w:val="0"/>
          <w:color w:val="000000"/>
          <w:spacing w:val="0"/>
          <w:kern w:val="0"/>
          <w:sz w:val="32"/>
          <w:szCs w:val="32"/>
          <w:lang w:val="en-US" w:eastAsia="en-US" w:bidi="ar-SA"/>
        </w:rPr>
        <w:t>（二）奖励金额</w:t>
      </w:r>
    </w:p>
    <w:p w14:paraId="493B24D5">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仿宋_GB2312" w:hAnsi="仿宋_GB2312" w:eastAsia="仿宋_GB2312" w:cs="仿宋_GB2312"/>
          <w:snapToGrid w:val="0"/>
          <w:color w:val="000000"/>
          <w:spacing w:val="0"/>
          <w:kern w:val="0"/>
          <w:sz w:val="32"/>
          <w:szCs w:val="32"/>
          <w:lang w:val="en-US" w:eastAsia="en-US" w:bidi="ar-SA"/>
        </w:rPr>
        <w:t>对认定成为瞪羚的企业，一次性给予后补助奖励10至30万元。</w:t>
      </w:r>
    </w:p>
    <w:p w14:paraId="0BAB80CC">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
        </w:rPr>
        <w:t>第九条</w:t>
      </w:r>
      <w:r>
        <w:rPr>
          <w:rFonts w:hint="eastAsia" w:ascii="黑体" w:hAnsi="黑体" w:eastAsia="黑体" w:cs="黑体"/>
          <w:snapToGrid w:val="0"/>
          <w:color w:val="000000"/>
          <w:spacing w:val="0"/>
          <w:kern w:val="0"/>
          <w:sz w:val="32"/>
          <w:szCs w:val="32"/>
          <w:lang w:val="en-US" w:eastAsia="zh-CN" w:bidi="ar"/>
        </w:rPr>
        <w:t xml:space="preserve"> </w:t>
      </w:r>
      <w:r>
        <w:rPr>
          <w:rFonts w:hint="eastAsia" w:ascii="仿宋_GB2312" w:hAnsi="仿宋_GB2312" w:eastAsia="仿宋_GB2312" w:cs="仿宋_GB2312"/>
          <w:snapToGrid w:val="0"/>
          <w:color w:val="000000"/>
          <w:spacing w:val="0"/>
          <w:kern w:val="0"/>
          <w:sz w:val="32"/>
          <w:szCs w:val="32"/>
          <w:lang w:val="en-US" w:eastAsia="en-US" w:bidi="ar-SA"/>
        </w:rPr>
        <w:t xml:space="preserve"> 稀土产业关键技术攻关和重大科技成果转化奖励。该专项是落实“科技兴蒙”战略的有力抓手，鼓励企业与区外高校院所和有实力的创新型企业开展协同创新，着力增强稀土产业链供应链自主可控能力，加快抢占价值链创新链高端核心地位。</w:t>
      </w:r>
    </w:p>
    <w:p w14:paraId="23B56A3D">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
        </w:rPr>
        <w:t>第十条</w:t>
      </w:r>
      <w:r>
        <w:rPr>
          <w:rFonts w:hint="eastAsia" w:ascii="仿宋_GB2312" w:hAnsi="仿宋_GB2312" w:eastAsia="仿宋_GB2312" w:cs="仿宋_GB2312"/>
          <w:snapToGrid w:val="0"/>
          <w:color w:val="000000"/>
          <w:spacing w:val="0"/>
          <w:kern w:val="0"/>
          <w:sz w:val="32"/>
          <w:szCs w:val="32"/>
          <w:lang w:val="en-US" w:eastAsia="zh-CN" w:bidi="ar-SA"/>
        </w:rPr>
        <w:t xml:space="preserve">  </w:t>
      </w:r>
      <w:r>
        <w:rPr>
          <w:rFonts w:hint="eastAsia" w:ascii="仿宋_GB2312" w:hAnsi="仿宋_GB2312" w:eastAsia="仿宋_GB2312" w:cs="仿宋_GB2312"/>
          <w:snapToGrid w:val="0"/>
          <w:color w:val="000000"/>
          <w:spacing w:val="0"/>
          <w:kern w:val="0"/>
          <w:sz w:val="32"/>
          <w:szCs w:val="32"/>
          <w:lang w:val="en-US" w:eastAsia="en-US" w:bidi="ar-SA"/>
        </w:rPr>
        <w:t>研发机构建设、科技人才创新创业、科技特殊贡献奖、国家级高新区技术企业、瞪羚企业、稀土产业关键技术攻关和重大科技成果转化奖励六类奖励资金的申报条件、申报要求、申报材料由稀土高新区管委会负责起草发布。</w:t>
      </w:r>
    </w:p>
    <w:p w14:paraId="44D1D08F">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
        </w:rPr>
        <w:t>第十一条</w:t>
      </w:r>
      <w:r>
        <w:rPr>
          <w:rFonts w:hint="eastAsia" w:ascii="仿宋_GB2312" w:hAnsi="仿宋_GB2312" w:eastAsia="仿宋_GB2312" w:cs="仿宋_GB2312"/>
          <w:snapToGrid w:val="0"/>
          <w:color w:val="000000"/>
          <w:spacing w:val="0"/>
          <w:kern w:val="0"/>
          <w:sz w:val="32"/>
          <w:szCs w:val="32"/>
          <w:lang w:val="en-US" w:eastAsia="zh-CN" w:bidi="ar-SA"/>
        </w:rPr>
        <w:t xml:space="preserve">  </w:t>
      </w:r>
      <w:r>
        <w:rPr>
          <w:rFonts w:hint="eastAsia" w:ascii="仿宋_GB2312" w:hAnsi="仿宋_GB2312" w:eastAsia="仿宋_GB2312" w:cs="仿宋_GB2312"/>
          <w:snapToGrid w:val="0"/>
          <w:color w:val="000000"/>
          <w:spacing w:val="0"/>
          <w:kern w:val="0"/>
          <w:sz w:val="32"/>
          <w:szCs w:val="32"/>
          <w:lang w:val="en-US" w:eastAsia="en-US" w:bidi="ar-SA"/>
        </w:rPr>
        <w:t>稀土高新区管委会每年组织一</w:t>
      </w:r>
      <w:bookmarkStart w:id="0" w:name="_GoBack"/>
      <w:bookmarkEnd w:id="0"/>
      <w:r>
        <w:rPr>
          <w:rFonts w:hint="eastAsia" w:ascii="仿宋_GB2312" w:hAnsi="仿宋_GB2312" w:eastAsia="仿宋_GB2312" w:cs="仿宋_GB2312"/>
          <w:snapToGrid w:val="0"/>
          <w:color w:val="000000"/>
          <w:spacing w:val="0"/>
          <w:kern w:val="0"/>
          <w:sz w:val="32"/>
          <w:szCs w:val="32"/>
          <w:lang w:val="en-US" w:eastAsia="en-US" w:bidi="ar-SA"/>
        </w:rPr>
        <w:t>次企业技术创新奖励申报评审认定和资金兑现工作，奖励资金每年在稀土高新区财政专项筹集列支。稀土高新区科技创新局负责组织开展各类奖励资金的申报评审和认定，各园区所在区政府或园区管委会负责做好组织申报推荐工作。</w:t>
      </w:r>
    </w:p>
    <w:p w14:paraId="419C2A19">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
        </w:rPr>
        <w:t>第十二条</w:t>
      </w:r>
      <w:r>
        <w:rPr>
          <w:rFonts w:hint="eastAsia" w:ascii="仿宋_GB2312" w:hAnsi="仿宋_GB2312" w:eastAsia="仿宋_GB2312" w:cs="仿宋_GB2312"/>
          <w:snapToGrid w:val="0"/>
          <w:color w:val="000000"/>
          <w:spacing w:val="0"/>
          <w:kern w:val="0"/>
          <w:sz w:val="32"/>
          <w:szCs w:val="32"/>
          <w:lang w:val="en-US" w:eastAsia="zh-CN" w:bidi="ar-SA"/>
        </w:rPr>
        <w:t xml:space="preserve">  </w:t>
      </w:r>
      <w:r>
        <w:rPr>
          <w:rFonts w:hint="eastAsia" w:ascii="仿宋_GB2312" w:hAnsi="仿宋_GB2312" w:eastAsia="仿宋_GB2312" w:cs="仿宋_GB2312"/>
          <w:snapToGrid w:val="0"/>
          <w:color w:val="000000"/>
          <w:spacing w:val="0"/>
          <w:kern w:val="0"/>
          <w:sz w:val="32"/>
          <w:szCs w:val="32"/>
          <w:lang w:val="en-US" w:eastAsia="en-US" w:bidi="ar-SA"/>
        </w:rPr>
        <w:t>本办法由稀土高新区管委会负责解释。</w:t>
      </w:r>
    </w:p>
    <w:p w14:paraId="177E5D50">
      <w:pPr>
        <w:keepNext w:val="0"/>
        <w:keepLines w:val="0"/>
        <w:pageBreakBefore w:val="0"/>
        <w:widowControl w:val="0"/>
        <w:kinsoku/>
        <w:wordWrap w:val="0"/>
        <w:overflowPunct/>
        <w:topLinePunct/>
        <w:autoSpaceDE/>
        <w:autoSpaceDN/>
        <w:bidi w:val="0"/>
        <w:adjustRightInd w:val="0"/>
        <w:snapToGrid w:val="0"/>
        <w:spacing w:afterAutospacing="0"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spacing w:val="0"/>
          <w:kern w:val="0"/>
          <w:sz w:val="32"/>
          <w:szCs w:val="32"/>
          <w:lang w:val="en-US" w:eastAsia="en-US" w:bidi="ar-SA"/>
        </w:rPr>
      </w:pPr>
      <w:r>
        <w:rPr>
          <w:rFonts w:hint="eastAsia" w:ascii="黑体" w:hAnsi="黑体" w:eastAsia="黑体" w:cs="黑体"/>
          <w:snapToGrid w:val="0"/>
          <w:color w:val="000000"/>
          <w:spacing w:val="0"/>
          <w:kern w:val="0"/>
          <w:sz w:val="32"/>
          <w:szCs w:val="32"/>
          <w:lang w:val="en-US" w:eastAsia="en-US" w:bidi="ar"/>
        </w:rPr>
        <w:t>第十三条</w:t>
      </w:r>
      <w:r>
        <w:rPr>
          <w:rFonts w:hint="eastAsia" w:ascii="仿宋_GB2312" w:hAnsi="仿宋_GB2312" w:eastAsia="仿宋_GB2312" w:cs="仿宋_GB2312"/>
          <w:snapToGrid w:val="0"/>
          <w:color w:val="000000"/>
          <w:spacing w:val="0"/>
          <w:kern w:val="0"/>
          <w:sz w:val="32"/>
          <w:szCs w:val="32"/>
          <w:lang w:val="en-US" w:eastAsia="zh-CN" w:bidi="ar-SA"/>
        </w:rPr>
        <w:t xml:space="preserve">  </w:t>
      </w:r>
      <w:r>
        <w:rPr>
          <w:rFonts w:hint="eastAsia" w:ascii="仿宋_GB2312" w:hAnsi="仿宋_GB2312" w:eastAsia="仿宋_GB2312" w:cs="仿宋_GB2312"/>
          <w:snapToGrid w:val="0"/>
          <w:color w:val="000000"/>
          <w:spacing w:val="0"/>
          <w:kern w:val="0"/>
          <w:sz w:val="32"/>
          <w:szCs w:val="32"/>
          <w:lang w:val="en-US" w:eastAsia="en-US" w:bidi="ar-SA"/>
        </w:rPr>
        <w:t>本办法自发布之日起实施。</w:t>
      </w:r>
    </w:p>
    <w:p w14:paraId="5C810BAB">
      <w:pPr>
        <w:pStyle w:val="2"/>
        <w:keepNext w:val="0"/>
        <w:keepLines w:val="0"/>
        <w:pageBreakBefore w:val="0"/>
        <w:widowControl w:val="0"/>
        <w:kinsoku/>
        <w:wordWrap w:val="0"/>
        <w:overflowPunct/>
        <w:topLinePunct/>
        <w:autoSpaceDE/>
        <w:autoSpaceDN/>
        <w:bidi w:val="0"/>
        <w:adjustRightInd w:val="0"/>
        <w:snapToGrid w:val="0"/>
        <w:spacing w:afterAutospacing="0" w:line="560" w:lineRule="exact"/>
        <w:ind w:left="0" w:right="0" w:firstLine="640" w:firstLineChars="200"/>
        <w:jc w:val="both"/>
        <w:textAlignment w:val="baseline"/>
        <w:rPr>
          <w:rFonts w:hint="eastAsia" w:ascii="仿宋_GB2312" w:hAnsi="仿宋_GB2312" w:eastAsia="仿宋_GB2312" w:cs="仿宋_GB2312"/>
          <w:spacing w:val="0"/>
          <w:sz w:val="32"/>
          <w:szCs w:val="32"/>
        </w:rPr>
      </w:pPr>
    </w:p>
    <w:sectPr>
      <w:footerReference r:id="rId5" w:type="default"/>
      <w:pgSz w:w="11900" w:h="16840"/>
      <w:pgMar w:top="1871" w:right="1474" w:bottom="1701" w:left="1587" w:header="0" w:footer="77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560C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76AF8">
                          <w:pPr>
                            <w:pStyle w:val="3"/>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1</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976AF8">
                    <w:pPr>
                      <w:pStyle w:val="3"/>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1</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225E5848"/>
    <w:rsid w:val="4CA039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5b87af52-14d8-4dc5-811c-0f5ece1c0280</errorID>
      <errorWord>,</errorWord>
      <group>L1_Format</group>
      <groupName>格式问题</groupName>
      <ability>L2_HalfPunc_CN</ability>
      <abilityName/>
      <candidateList>
        <item>，</item>
      </candidateList>
      <explain>文本全半角错误。</explain>
      <paraID>5A782E07</paraID>
      <start>55</start>
      <end>56</end>
      <status>modified</status>
      <modifiedWord>，</modifiedWord>
      <trackRevisions>false</trackRevisions>
    </reviewItem>
    <reviewItem>
      <errorID>14e4813e-5a3f-4ac6-8ef8-fd77de615336</errorID>
      <errorWord>下</errorWord>
      <group>L1_Word</group>
      <groupName>字词问题</groupName>
      <ability>L2_Typo</ability>
      <abilityName>字词错误</abilityName>
      <candidateList>
        <item>下简</item>
      </candidateList>
      <explain/>
      <paraID>18D8FFC1</paraID>
      <start>67</start>
      <end>68</end>
      <status>unmodified</status>
      <modifiedWord/>
      <trackRevisions>false</trackRevisions>
    </reviewItem>
    <reviewItem>
      <errorID>1f4e8d0e-a8b6-4122-b17f-8389a4e1331f</errorID>
      <errorWord>其它</errorWord>
      <group>L1_Word</group>
      <groupName>字词问题</groupName>
      <ability>L2_Alias</ability>
      <abilityName>也作/曾用词</abilityName>
      <candidateList>
        <item>其他</item>
      </candidateList>
      <explain>词汇[其它]为不规范表述或旧称，其规范书面表述为[其他]。</explain>
      <paraID>525970DE</paraID>
      <start>43</start>
      <end>45</end>
      <status>unmodified</status>
      <modifiedWord/>
      <trackRevisions>false</trackRevisions>
    </reviewItem>
    <reviewItem>
      <errorID>b7324bd3-9066-44f6-9e2f-c6d5cf441093</errorID>
      <errorWord>,</errorWord>
      <group>L1_Format</group>
      <groupName>格式问题</groupName>
      <ability>L2_HalfPunc_CN</ability>
      <abilityName/>
      <candidateList>
        <item>，</item>
      </candidateList>
      <explain>文本全半角错误。</explain>
      <paraID>3AC14034</paraID>
      <start>23</start>
      <end>24</end>
      <status>modified</status>
      <modifiedWord>，</modifiedWord>
      <trackRevisions>false</trackRevisions>
    </reviewItem>
    <reviewItem>
      <errorID>a457f5dc-1d03-483a-8d58-65a9b5030944</errorID>
      <errorWord>小巨人企业</errorWord>
      <group>L1_Political</group>
      <groupName>政治性问题</groupName>
      <ability>L2_Keyword</ability>
      <abilityName>固定表述</abilityName>
      <candidateList>
        <item>“小巨人”企业</item>
      </candidateList>
      <explain>注意检查当前固定表述标点是否使用规范。</explain>
      <paraID>57EBE1E1</paraID>
      <start>11</start>
      <end>16</end>
      <status>unmodified</status>
      <modifiedWord/>
      <trackRevisions>false</trackRevisions>
    </reviewItem>
    <reviewItem>
      <errorID>e69c3143-7d12-4bb8-b520-6819949425a8</errorID>
      <errorWord>实行</errorWord>
      <group>L1_Word</group>
      <groupName>字词问题</groupName>
      <ability>L2_Typo</ability>
      <abilityName>字词错误</abilityName>
      <candidateList>
        <item>施行</item>
      </candidateList>
      <explain>〈动〉❶法令、规章等公布后从某时起发生效力；执行：本条例自公布之日起～。❷按照某种方式或办法去做；实行：～手术。</explain>
      <paraID>5C810BAB</paraID>
      <start>29</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7041a4-d293-4692-89c5-4c91d0358bbc}">
  <ds:schemaRefs/>
</ds:datastoreItem>
</file>

<file path=docProps/app.xml><?xml version="1.0" encoding="utf-8"?>
<Properties xmlns="http://schemas.openxmlformats.org/officeDocument/2006/extended-properties" xmlns:vt="http://schemas.openxmlformats.org/officeDocument/2006/docPropsVTypes">
  <Pages>5</Pages>
  <Words>1731</Words>
  <Characters>1746</Characters>
  <TotalTime>12</TotalTime>
  <ScaleCrop>false</ScaleCrop>
  <LinksUpToDate>false</LinksUpToDate>
  <CharactersWithSpaces>1772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2026-05-21T17:40:00Z</dcterms:created>
  <dc:creator>Administrator</dc:creator>
  <cp:lastModifiedBy>luminous</cp:lastModifiedBy>
  <dcterms:modified xsi:type="dcterms:W3CDTF">2026-05-21T10:02:50Z</dcterms:modified>
  <dc:title>在 NTKOOFFICE控件 中的 WPS文档</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2026-05-21T17:40:35Z</vt:filetime>
  </property>
  <property fmtid="{D5CDD505-2E9C-101B-9397-08002B2CF9AE}" pid="4" name="KSOTemplateDocerSaveRecord">
    <vt:lpwstr>eyJoZGlkIjoiMjI4ZjU0OGViNjdlMDYxN2JlZWY3YjZlMDE3NTkwMWYiLCJ1c2VySWQiOiIzODAyNjg3MzQifQ==</vt:lpwstr>
  </property>
  <property fmtid="{D5CDD505-2E9C-101B-9397-08002B2CF9AE}" pid="5" name="KSOProductBuildVer">
    <vt:lpwstr>2052-12.1.0.26375</vt:lpwstr>
  </property>
  <property fmtid="{D5CDD505-2E9C-101B-9397-08002B2CF9AE}" pid="6" name="ICV">
    <vt:lpwstr>06803094320D4547854CC87E0F6615BC_12</vt:lpwstr>
  </property>
</Properties>
</file>