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E2854">
      <w:pPr>
        <w:keepNext w:val="0"/>
        <w:keepLines w:val="0"/>
        <w:pageBreakBefore w:val="0"/>
        <w:kinsoku/>
        <w:wordWrap/>
        <w:overflowPunct/>
        <w:topLinePunct w:val="0"/>
        <w:autoSpaceDE/>
        <w:autoSpaceDN/>
        <w:bidi w:val="0"/>
        <w:adjustRightInd w:val="0"/>
        <w:snapToGrid w:val="0"/>
        <w:spacing w:before="240" w:line="480" w:lineRule="auto"/>
        <w:jc w:val="left"/>
        <w:textAlignment w:val="auto"/>
        <w:rPr>
          <w:rFonts w:hint="eastAsia" w:ascii="微软雅黑" w:hAnsi="微软雅黑" w:eastAsia="微软雅黑" w:cs="微软雅黑"/>
          <w:b/>
          <w:bCs/>
          <w:kern w:val="0"/>
          <w:sz w:val="56"/>
          <w:szCs w:val="56"/>
        </w:rPr>
      </w:pPr>
      <w:r>
        <w:rPr>
          <w:rFonts w:hint="eastAsia" w:ascii="微软雅黑" w:hAnsi="微软雅黑" w:eastAsia="微软雅黑" w:cs="微软雅黑"/>
          <w:b/>
          <w:bCs/>
          <w:kern w:val="0"/>
          <w:sz w:val="56"/>
          <w:szCs w:val="56"/>
        </w:rPr>
        <w:t>包头稀土高新技术产业开发区管理委员会</w:t>
      </w:r>
    </w:p>
    <w:p w14:paraId="0DAAD5E6">
      <w:pPr>
        <w:keepNext w:val="0"/>
        <w:keepLines w:val="0"/>
        <w:pageBreakBefore w:val="0"/>
        <w:kinsoku/>
        <w:wordWrap/>
        <w:overflowPunct/>
        <w:topLinePunct w:val="0"/>
        <w:autoSpaceDE/>
        <w:autoSpaceDN/>
        <w:bidi w:val="0"/>
        <w:adjustRightInd w:val="0"/>
        <w:snapToGrid w:val="0"/>
        <w:spacing w:before="240" w:line="480" w:lineRule="auto"/>
        <w:jc w:val="left"/>
        <w:textAlignment w:val="auto"/>
        <w:rPr>
          <w:rFonts w:hint="eastAsia" w:ascii="微软雅黑" w:hAnsi="微软雅黑" w:eastAsia="微软雅黑" w:cs="微软雅黑"/>
          <w:b/>
          <w:bCs/>
          <w:kern w:val="0"/>
          <w:sz w:val="56"/>
          <w:szCs w:val="56"/>
        </w:rPr>
      </w:pPr>
      <w:r>
        <w:rPr>
          <w:rFonts w:hint="eastAsia" w:ascii="微软雅黑" w:hAnsi="微软雅黑" w:eastAsia="微软雅黑" w:cs="微软雅黑"/>
          <w:b/>
          <w:bCs/>
          <w:kern w:val="0"/>
          <w:sz w:val="56"/>
          <w:szCs w:val="56"/>
        </w:rPr>
        <w:t>关于印发《包头稀土高新区政府投资建设项目工程造价审核工作管理暂行办法》</w:t>
      </w:r>
      <w:r>
        <w:rPr>
          <w:rFonts w:hint="eastAsia" w:ascii="微软雅黑" w:hAnsi="微软雅黑" w:eastAsia="微软雅黑" w:cs="微软雅黑"/>
          <w:b/>
          <w:bCs/>
          <w:kern w:val="0"/>
          <w:sz w:val="56"/>
          <w:szCs w:val="56"/>
        </w:rPr>
        <w:t>的</w:t>
      </w:r>
      <w:r>
        <w:rPr>
          <w:rFonts w:hint="eastAsia" w:ascii="微软雅黑" w:hAnsi="微软雅黑" w:eastAsia="微软雅黑" w:cs="微软雅黑"/>
          <w:b/>
          <w:bCs/>
          <w:kern w:val="0"/>
          <w:sz w:val="56"/>
          <w:szCs w:val="56"/>
        </w:rPr>
        <w:t>通知</w:t>
      </w:r>
    </w:p>
    <w:p w14:paraId="57B53BC0">
      <w:pPr>
        <w:keepNext w:val="0"/>
        <w:keepLines w:val="0"/>
        <w:pageBreakBefore w:val="0"/>
        <w:kinsoku/>
        <w:wordWrap/>
        <w:overflowPunct/>
        <w:topLinePunct w:val="0"/>
        <w:autoSpaceDE/>
        <w:autoSpaceDN/>
        <w:bidi w:val="0"/>
        <w:adjustRightInd w:val="0"/>
        <w:snapToGrid w:val="0"/>
        <w:spacing w:before="240" w:line="480" w:lineRule="auto"/>
        <w:textAlignment w:val="auto"/>
        <w:rPr>
          <w:rFonts w:ascii="Times New Roman" w:hAnsi="Times New Roman" w:eastAsia="仿宋_GB2312" w:cs="仿宋_GB2312"/>
          <w:kern w:val="0"/>
          <w:sz w:val="32"/>
          <w:szCs w:val="32"/>
        </w:rPr>
      </w:pPr>
    </w:p>
    <w:p w14:paraId="3C43707C">
      <w:pPr>
        <w:keepNext w:val="0"/>
        <w:keepLines w:val="0"/>
        <w:pageBreakBefore w:val="0"/>
        <w:kinsoku/>
        <w:wordWrap/>
        <w:overflowPunct/>
        <w:topLinePunct w:val="0"/>
        <w:autoSpaceDE/>
        <w:autoSpaceDN/>
        <w:bidi w:val="0"/>
        <w:adjustRightInd w:val="0"/>
        <w:snapToGrid w:val="0"/>
        <w:spacing w:before="240" w:line="480" w:lineRule="auto"/>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区属各部门、单位，各镇、街道，各直属企业：</w:t>
      </w:r>
    </w:p>
    <w:p w14:paraId="789B2B1C">
      <w:pPr>
        <w:keepNext w:val="0"/>
        <w:keepLines w:val="0"/>
        <w:pageBreakBefore w:val="0"/>
        <w:kinsoku/>
        <w:wordWrap/>
        <w:overflowPunct/>
        <w:topLinePunct w:val="0"/>
        <w:autoSpaceDE/>
        <w:autoSpaceDN/>
        <w:bidi w:val="0"/>
        <w:adjustRightInd w:val="0"/>
        <w:snapToGrid w:val="0"/>
        <w:spacing w:before="240" w:line="480" w:lineRule="auto"/>
        <w:ind w:firstLine="720" w:firstLineChars="200"/>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为进一步</w:t>
      </w:r>
      <w:bookmarkStart w:id="12" w:name="_GoBack"/>
      <w:r>
        <w:rPr>
          <w:rFonts w:hint="eastAsia" w:ascii="微软雅黑" w:hAnsi="微软雅黑" w:eastAsia="微软雅黑" w:cs="微软雅黑"/>
          <w:kern w:val="0"/>
          <w:sz w:val="36"/>
          <w:szCs w:val="36"/>
        </w:rPr>
        <w:t>加强稀土高</w:t>
      </w:r>
      <w:bookmarkEnd w:id="12"/>
      <w:r>
        <w:rPr>
          <w:rFonts w:hint="eastAsia" w:ascii="微软雅黑" w:hAnsi="微软雅黑" w:eastAsia="微软雅黑" w:cs="微软雅黑"/>
          <w:kern w:val="0"/>
          <w:sz w:val="36"/>
          <w:szCs w:val="36"/>
        </w:rPr>
        <w:t>新区政府投资建设项目工程造价审核工作，提高资金使用效益，充分发挥审核职能，按照管委会2025年第6次常务会议精神，现将《包头稀土高新区政府投资建设项目工程造价审核工作管理暂行办法》印发给你们，请结合实际，认真贯彻落实。</w:t>
      </w:r>
    </w:p>
    <w:p w14:paraId="174DE7AC">
      <w:pPr>
        <w:keepNext w:val="0"/>
        <w:keepLines w:val="0"/>
        <w:pageBreakBefore w:val="0"/>
        <w:kinsoku/>
        <w:wordWrap/>
        <w:overflowPunct/>
        <w:topLinePunct w:val="0"/>
        <w:autoSpaceDE/>
        <w:autoSpaceDN/>
        <w:bidi w:val="0"/>
        <w:adjustRightInd w:val="0"/>
        <w:snapToGrid w:val="0"/>
        <w:spacing w:before="240" w:line="480" w:lineRule="auto"/>
        <w:ind w:firstLine="720" w:firstLineChars="200"/>
        <w:textAlignment w:val="auto"/>
        <w:rPr>
          <w:rFonts w:hint="eastAsia" w:ascii="微软雅黑" w:hAnsi="微软雅黑" w:eastAsia="微软雅黑" w:cs="微软雅黑"/>
          <w:kern w:val="0"/>
          <w:sz w:val="36"/>
          <w:szCs w:val="36"/>
        </w:rPr>
      </w:pPr>
    </w:p>
    <w:p w14:paraId="3346D717">
      <w:pPr>
        <w:keepNext w:val="0"/>
        <w:keepLines w:val="0"/>
        <w:pageBreakBefore w:val="0"/>
        <w:kinsoku/>
        <w:wordWrap/>
        <w:overflowPunct/>
        <w:topLinePunct w:val="0"/>
        <w:autoSpaceDE/>
        <w:autoSpaceDN/>
        <w:bidi w:val="0"/>
        <w:adjustRightInd w:val="0"/>
        <w:snapToGrid w:val="0"/>
        <w:spacing w:before="240" w:line="480" w:lineRule="auto"/>
        <w:ind w:firstLine="720" w:firstLineChars="200"/>
        <w:textAlignment w:val="auto"/>
        <w:rPr>
          <w:rFonts w:hint="eastAsia" w:ascii="微软雅黑" w:hAnsi="微软雅黑" w:eastAsia="微软雅黑" w:cs="微软雅黑"/>
          <w:kern w:val="0"/>
          <w:sz w:val="36"/>
          <w:szCs w:val="36"/>
        </w:rPr>
      </w:pPr>
    </w:p>
    <w:p w14:paraId="7E1EC5A5">
      <w:pPr>
        <w:keepNext w:val="0"/>
        <w:keepLines w:val="0"/>
        <w:pageBreakBefore w:val="0"/>
        <w:kinsoku/>
        <w:wordWrap/>
        <w:overflowPunct/>
        <w:topLinePunct w:val="0"/>
        <w:autoSpaceDE/>
        <w:autoSpaceDN/>
        <w:bidi w:val="0"/>
        <w:adjustRightInd w:val="0"/>
        <w:snapToGrid w:val="0"/>
        <w:spacing w:before="240" w:line="480" w:lineRule="auto"/>
        <w:ind w:firstLine="720" w:firstLineChars="200"/>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 xml:space="preserve">                                 包头稀土高新区管委会</w:t>
      </w:r>
    </w:p>
    <w:p w14:paraId="45C2026C">
      <w:pPr>
        <w:keepNext w:val="0"/>
        <w:keepLines w:val="0"/>
        <w:pageBreakBefore w:val="0"/>
        <w:kinsoku/>
        <w:wordWrap/>
        <w:overflowPunct/>
        <w:topLinePunct w:val="0"/>
        <w:autoSpaceDE/>
        <w:autoSpaceDN/>
        <w:bidi w:val="0"/>
        <w:adjustRightInd w:val="0"/>
        <w:snapToGrid w:val="0"/>
        <w:spacing w:before="240" w:line="480" w:lineRule="auto"/>
        <w:ind w:firstLine="720" w:firstLineChars="200"/>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 xml:space="preserve">                                  2025年8月18日</w:t>
      </w:r>
    </w:p>
    <w:p w14:paraId="2BE99623">
      <w:pPr>
        <w:keepNext w:val="0"/>
        <w:keepLines w:val="0"/>
        <w:pageBreakBefore w:val="0"/>
        <w:kinsoku/>
        <w:wordWrap/>
        <w:overflowPunct/>
        <w:topLinePunct w:val="0"/>
        <w:autoSpaceDE/>
        <w:autoSpaceDN/>
        <w:bidi w:val="0"/>
        <w:adjustRightInd w:val="0"/>
        <w:snapToGrid w:val="0"/>
        <w:spacing w:before="240" w:line="480" w:lineRule="auto"/>
        <w:jc w:val="center"/>
        <w:textAlignment w:val="auto"/>
        <w:rPr>
          <w:rFonts w:hint="eastAsia" w:ascii="微软雅黑" w:hAnsi="微软雅黑" w:eastAsia="微软雅黑" w:cs="微软雅黑"/>
          <w:kern w:val="0"/>
          <w:sz w:val="36"/>
          <w:szCs w:val="36"/>
        </w:rPr>
      </w:pPr>
    </w:p>
    <w:p w14:paraId="0C3A9028">
      <w:pPr>
        <w:keepNext w:val="0"/>
        <w:keepLines w:val="0"/>
        <w:pageBreakBefore w:val="0"/>
        <w:kinsoku/>
        <w:wordWrap/>
        <w:overflowPunct/>
        <w:topLinePunct w:val="0"/>
        <w:autoSpaceDE/>
        <w:autoSpaceDN/>
        <w:bidi w:val="0"/>
        <w:adjustRightInd w:val="0"/>
        <w:snapToGrid w:val="0"/>
        <w:spacing w:before="240" w:line="480" w:lineRule="auto"/>
        <w:jc w:val="center"/>
        <w:textAlignment w:val="auto"/>
        <w:rPr>
          <w:rFonts w:hint="eastAsia" w:ascii="微软雅黑" w:hAnsi="微软雅黑" w:eastAsia="微软雅黑" w:cs="微软雅黑"/>
          <w:b/>
          <w:bCs/>
          <w:kern w:val="0"/>
          <w:sz w:val="36"/>
          <w:szCs w:val="36"/>
        </w:rPr>
      </w:pPr>
    </w:p>
    <w:p w14:paraId="28F19668">
      <w:pPr>
        <w:keepNext w:val="0"/>
        <w:keepLines w:val="0"/>
        <w:pageBreakBefore w:val="0"/>
        <w:kinsoku/>
        <w:wordWrap/>
        <w:overflowPunct/>
        <w:topLinePunct w:val="0"/>
        <w:autoSpaceDE/>
        <w:autoSpaceDN/>
        <w:bidi w:val="0"/>
        <w:adjustRightInd w:val="0"/>
        <w:snapToGrid w:val="0"/>
        <w:spacing w:before="240" w:line="480" w:lineRule="auto"/>
        <w:jc w:val="center"/>
        <w:textAlignment w:val="auto"/>
        <w:rPr>
          <w:rFonts w:hint="eastAsia" w:ascii="微软雅黑" w:hAnsi="微软雅黑" w:eastAsia="微软雅黑" w:cs="微软雅黑"/>
          <w:b/>
          <w:bCs/>
          <w:kern w:val="0"/>
          <w:sz w:val="36"/>
          <w:szCs w:val="36"/>
        </w:rPr>
      </w:pPr>
    </w:p>
    <w:p w14:paraId="3FCD0E49">
      <w:pPr>
        <w:keepNext w:val="0"/>
        <w:keepLines w:val="0"/>
        <w:pageBreakBefore w:val="0"/>
        <w:kinsoku/>
        <w:wordWrap/>
        <w:overflowPunct/>
        <w:topLinePunct w:val="0"/>
        <w:autoSpaceDE/>
        <w:autoSpaceDN/>
        <w:bidi w:val="0"/>
        <w:adjustRightInd w:val="0"/>
        <w:snapToGrid w:val="0"/>
        <w:spacing w:before="240" w:line="480" w:lineRule="auto"/>
        <w:jc w:val="center"/>
        <w:textAlignment w:val="auto"/>
        <w:rPr>
          <w:rFonts w:hint="eastAsia" w:ascii="微软雅黑" w:hAnsi="微软雅黑" w:eastAsia="微软雅黑" w:cs="微软雅黑"/>
          <w:b/>
          <w:bCs/>
          <w:kern w:val="0"/>
          <w:sz w:val="36"/>
          <w:szCs w:val="36"/>
        </w:rPr>
      </w:pPr>
    </w:p>
    <w:p w14:paraId="52DF7288">
      <w:pPr>
        <w:keepNext w:val="0"/>
        <w:keepLines w:val="0"/>
        <w:pageBreakBefore w:val="0"/>
        <w:kinsoku/>
        <w:wordWrap/>
        <w:overflowPunct/>
        <w:topLinePunct w:val="0"/>
        <w:autoSpaceDE/>
        <w:autoSpaceDN/>
        <w:bidi w:val="0"/>
        <w:adjustRightInd w:val="0"/>
        <w:snapToGrid w:val="0"/>
        <w:spacing w:before="240" w:line="480" w:lineRule="auto"/>
        <w:jc w:val="center"/>
        <w:textAlignment w:val="auto"/>
        <w:rPr>
          <w:rFonts w:hint="eastAsia" w:ascii="微软雅黑" w:hAnsi="微软雅黑" w:eastAsia="微软雅黑" w:cs="微软雅黑"/>
          <w:b/>
          <w:bCs/>
          <w:kern w:val="0"/>
          <w:sz w:val="36"/>
          <w:szCs w:val="36"/>
        </w:rPr>
      </w:pPr>
    </w:p>
    <w:p w14:paraId="593B328E">
      <w:pPr>
        <w:keepNext w:val="0"/>
        <w:keepLines w:val="0"/>
        <w:pageBreakBefore w:val="0"/>
        <w:kinsoku/>
        <w:wordWrap/>
        <w:overflowPunct/>
        <w:topLinePunct w:val="0"/>
        <w:autoSpaceDE/>
        <w:autoSpaceDN/>
        <w:bidi w:val="0"/>
        <w:adjustRightInd w:val="0"/>
        <w:snapToGrid w:val="0"/>
        <w:spacing w:before="240" w:line="480" w:lineRule="auto"/>
        <w:jc w:val="center"/>
        <w:textAlignment w:val="auto"/>
        <w:rPr>
          <w:rFonts w:hint="eastAsia" w:ascii="微软雅黑" w:hAnsi="微软雅黑" w:eastAsia="微软雅黑" w:cs="微软雅黑"/>
          <w:b/>
          <w:bCs/>
          <w:kern w:val="0"/>
          <w:sz w:val="36"/>
          <w:szCs w:val="36"/>
        </w:rPr>
      </w:pPr>
    </w:p>
    <w:p w14:paraId="25265F3D">
      <w:pPr>
        <w:keepNext w:val="0"/>
        <w:keepLines w:val="0"/>
        <w:pageBreakBefore w:val="0"/>
        <w:kinsoku/>
        <w:wordWrap/>
        <w:overflowPunct/>
        <w:topLinePunct w:val="0"/>
        <w:autoSpaceDE/>
        <w:autoSpaceDN/>
        <w:bidi w:val="0"/>
        <w:adjustRightInd w:val="0"/>
        <w:snapToGrid w:val="0"/>
        <w:spacing w:before="240" w:line="480" w:lineRule="auto"/>
        <w:jc w:val="center"/>
        <w:textAlignment w:val="auto"/>
        <w:rPr>
          <w:rFonts w:hint="eastAsia" w:ascii="微软雅黑" w:hAnsi="微软雅黑" w:eastAsia="微软雅黑" w:cs="微软雅黑"/>
          <w:b/>
          <w:bCs/>
          <w:kern w:val="0"/>
          <w:sz w:val="36"/>
          <w:szCs w:val="36"/>
        </w:rPr>
      </w:pPr>
    </w:p>
    <w:p w14:paraId="7ADC2956">
      <w:pPr>
        <w:keepNext w:val="0"/>
        <w:keepLines w:val="0"/>
        <w:pageBreakBefore w:val="0"/>
        <w:kinsoku/>
        <w:wordWrap/>
        <w:overflowPunct/>
        <w:topLinePunct w:val="0"/>
        <w:autoSpaceDE/>
        <w:autoSpaceDN/>
        <w:bidi w:val="0"/>
        <w:adjustRightInd w:val="0"/>
        <w:snapToGrid w:val="0"/>
        <w:spacing w:before="240" w:line="480" w:lineRule="auto"/>
        <w:jc w:val="center"/>
        <w:textAlignment w:val="auto"/>
        <w:rPr>
          <w:rFonts w:hint="eastAsia" w:ascii="微软雅黑" w:hAnsi="微软雅黑" w:eastAsia="微软雅黑" w:cs="微软雅黑"/>
          <w:b/>
          <w:bCs/>
          <w:kern w:val="0"/>
          <w:sz w:val="36"/>
          <w:szCs w:val="36"/>
        </w:rPr>
      </w:pPr>
    </w:p>
    <w:p w14:paraId="11CF5652">
      <w:pPr>
        <w:keepNext w:val="0"/>
        <w:keepLines w:val="0"/>
        <w:pageBreakBefore w:val="0"/>
        <w:kinsoku/>
        <w:wordWrap/>
        <w:overflowPunct/>
        <w:topLinePunct w:val="0"/>
        <w:autoSpaceDE/>
        <w:autoSpaceDN/>
        <w:bidi w:val="0"/>
        <w:adjustRightInd w:val="0"/>
        <w:snapToGrid w:val="0"/>
        <w:spacing w:before="240" w:line="480" w:lineRule="auto"/>
        <w:jc w:val="center"/>
        <w:textAlignment w:val="auto"/>
        <w:rPr>
          <w:rFonts w:hint="eastAsia" w:ascii="微软雅黑" w:hAnsi="微软雅黑" w:eastAsia="微软雅黑" w:cs="微软雅黑"/>
          <w:b/>
          <w:bCs/>
          <w:kern w:val="0"/>
          <w:sz w:val="36"/>
          <w:szCs w:val="36"/>
        </w:rPr>
      </w:pPr>
      <w:r>
        <w:rPr>
          <w:rFonts w:hint="eastAsia" w:ascii="微软雅黑" w:hAnsi="微软雅黑" w:eastAsia="微软雅黑" w:cs="微软雅黑"/>
          <w:b/>
          <w:bCs/>
          <w:kern w:val="0"/>
          <w:sz w:val="36"/>
          <w:szCs w:val="36"/>
        </w:rPr>
        <w:t>包头稀土高新区政府投资建设项目</w:t>
      </w:r>
    </w:p>
    <w:p w14:paraId="0971D6BF">
      <w:pPr>
        <w:keepNext w:val="0"/>
        <w:keepLines w:val="0"/>
        <w:pageBreakBefore w:val="0"/>
        <w:kinsoku/>
        <w:wordWrap/>
        <w:overflowPunct/>
        <w:topLinePunct w:val="0"/>
        <w:autoSpaceDE/>
        <w:autoSpaceDN/>
        <w:bidi w:val="0"/>
        <w:adjustRightInd w:val="0"/>
        <w:snapToGrid w:val="0"/>
        <w:spacing w:after="240" w:line="480" w:lineRule="auto"/>
        <w:jc w:val="center"/>
        <w:textAlignment w:val="auto"/>
        <w:rPr>
          <w:rFonts w:hint="eastAsia" w:ascii="微软雅黑" w:hAnsi="微软雅黑" w:eastAsia="微软雅黑" w:cs="微软雅黑"/>
          <w:b/>
          <w:bCs/>
          <w:kern w:val="0"/>
          <w:sz w:val="36"/>
          <w:szCs w:val="36"/>
        </w:rPr>
      </w:pPr>
      <w:r>
        <w:rPr>
          <w:rFonts w:hint="eastAsia" w:ascii="微软雅黑" w:hAnsi="微软雅黑" w:eastAsia="微软雅黑" w:cs="微软雅黑"/>
          <w:b/>
          <w:bCs/>
          <w:kern w:val="0"/>
          <w:sz w:val="36"/>
          <w:szCs w:val="36"/>
        </w:rPr>
        <w:t>工程造价审核工作管理暂行办法</w:t>
      </w:r>
    </w:p>
    <w:p w14:paraId="574D9542">
      <w:pPr>
        <w:keepNext w:val="0"/>
        <w:keepLines w:val="0"/>
        <w:pageBreakBefore w:val="0"/>
        <w:kinsoku/>
        <w:wordWrap/>
        <w:overflowPunct/>
        <w:topLinePunct w:val="0"/>
        <w:autoSpaceDE/>
        <w:autoSpaceDN/>
        <w:bidi w:val="0"/>
        <w:adjustRightInd w:val="0"/>
        <w:snapToGrid w:val="0"/>
        <w:spacing w:after="240" w:line="480" w:lineRule="auto"/>
        <w:ind w:firstLine="720" w:firstLineChars="200"/>
        <w:jc w:val="center"/>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第一章  总则</w:t>
      </w:r>
    </w:p>
    <w:p w14:paraId="3867951C">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b/>
          <w:kern w:val="0"/>
          <w:sz w:val="36"/>
          <w:szCs w:val="36"/>
        </w:rPr>
      </w:pPr>
      <w:r>
        <w:rPr>
          <w:rFonts w:hint="eastAsia" w:ascii="微软雅黑" w:hAnsi="微软雅黑" w:eastAsia="微软雅黑" w:cs="微软雅黑"/>
          <w:b/>
          <w:kern w:val="0"/>
          <w:sz w:val="36"/>
          <w:szCs w:val="36"/>
        </w:rPr>
        <w:t>第一条</w:t>
      </w:r>
      <w:r>
        <w:rPr>
          <w:rFonts w:hint="eastAsia" w:ascii="微软雅黑" w:hAnsi="微软雅黑" w:eastAsia="微软雅黑" w:cs="微软雅黑"/>
          <w:color w:val="232A30"/>
          <w:kern w:val="0"/>
          <w:sz w:val="36"/>
          <w:szCs w:val="36"/>
          <w:lang w:bidi="ar"/>
        </w:rPr>
        <w:t xml:space="preserve"> </w:t>
      </w:r>
      <w:r>
        <w:rPr>
          <w:rFonts w:hint="eastAsia" w:ascii="微软雅黑" w:hAnsi="微软雅黑" w:eastAsia="微软雅黑" w:cs="微软雅黑"/>
          <w:kern w:val="0"/>
          <w:sz w:val="36"/>
          <w:szCs w:val="36"/>
        </w:rPr>
        <w:t>为加强稀土高新区政府投资建设项目工程造价审核工作，提高资金使用效益，充分发挥审核职能，根据《中华人民共和国预算法》《中华人民共和国政府采购法》《中华人民共和国招标投标法》《财政部财政投资评审管理规定》（财建（2009）648号）《内蒙古自治区建设工程造价管理办法》（自治区人民政府令第187号）《包头市人民政府办公室关于进一步加强我市政府投资项目工程造价审核工作的通知》《包头市人民政府办公室关于印发包头市防止政府投资项目过度设计过度装修和非必要信息化建设的十一条措施的通知》（包府办发（2024）103号）等法律、法规、规章及规范性文件的规定，结合工作实际，制定本办法。</w:t>
      </w:r>
    </w:p>
    <w:p w14:paraId="1FC08F0C">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 xml:space="preserve">第二条 </w:t>
      </w:r>
      <w:r>
        <w:rPr>
          <w:rFonts w:hint="eastAsia" w:ascii="微软雅黑" w:hAnsi="微软雅黑" w:eastAsia="微软雅黑" w:cs="微软雅黑"/>
          <w:kern w:val="0"/>
          <w:sz w:val="36"/>
          <w:szCs w:val="36"/>
        </w:rPr>
        <w:t>本办法适用于稀土高新区政府投资建设项目的工程造价管理工作，国家、自治区、包头市法律、法规、规章及规范性文件另有规定的，按其规定执行。</w:t>
      </w:r>
    </w:p>
    <w:p w14:paraId="0F43435D">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交通、水利、电力等专业建设工程的造价管理，依照国家、</w:t>
      </w:r>
    </w:p>
    <w:p w14:paraId="5D63BC8D">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b/>
          <w:kern w:val="0"/>
          <w:sz w:val="36"/>
          <w:szCs w:val="36"/>
        </w:rPr>
      </w:pPr>
      <w:r>
        <w:rPr>
          <w:rFonts w:hint="eastAsia" w:ascii="微软雅黑" w:hAnsi="微软雅黑" w:eastAsia="微软雅黑" w:cs="微软雅黑"/>
          <w:kern w:val="0"/>
          <w:sz w:val="36"/>
          <w:szCs w:val="36"/>
        </w:rPr>
        <w:t>自治区、包头市有关规定执行。国家、自治区、包头市没有规定的，参照本办法执行。</w:t>
      </w:r>
    </w:p>
    <w:p w14:paraId="36A6EB27">
      <w:pPr>
        <w:keepNext w:val="0"/>
        <w:keepLines w:val="0"/>
        <w:pageBreakBefore w:val="0"/>
        <w:kinsoku/>
        <w:wordWrap/>
        <w:overflowPunct/>
        <w:topLinePunct w:val="0"/>
        <w:autoSpaceDE/>
        <w:autoSpaceDN/>
        <w:bidi w:val="0"/>
        <w:spacing w:line="480" w:lineRule="auto"/>
        <w:ind w:firstLine="720" w:firstLineChars="200"/>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 xml:space="preserve">第三条 </w:t>
      </w:r>
      <w:r>
        <w:rPr>
          <w:rFonts w:hint="eastAsia" w:ascii="微软雅黑" w:hAnsi="微软雅黑" w:eastAsia="微软雅黑" w:cs="微软雅黑"/>
          <w:kern w:val="0"/>
          <w:sz w:val="36"/>
          <w:szCs w:val="36"/>
        </w:rPr>
        <w:t>本办法所称的政府投资建设项目，是指使用财政性预算资金安排的建设项目，包括：</w:t>
      </w:r>
    </w:p>
    <w:p w14:paraId="3A497C79">
      <w:pPr>
        <w:keepNext w:val="0"/>
        <w:keepLines w:val="0"/>
        <w:pageBreakBefore w:val="0"/>
        <w:kinsoku/>
        <w:wordWrap/>
        <w:overflowPunct/>
        <w:topLinePunct w:val="0"/>
        <w:autoSpaceDE/>
        <w:autoSpaceDN/>
        <w:bidi w:val="0"/>
        <w:spacing w:line="480" w:lineRule="auto"/>
        <w:ind w:firstLine="720" w:firstLineChars="200"/>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（一）财政性预算资金、政府专项建设资金（基金）、政府债券资金以及其他财政性资金占投资总额50%及以上的建设项目；</w:t>
      </w:r>
    </w:p>
    <w:p w14:paraId="2A7A991D">
      <w:pPr>
        <w:keepNext w:val="0"/>
        <w:keepLines w:val="0"/>
        <w:pageBreakBefore w:val="0"/>
        <w:widowControl/>
        <w:kinsoku/>
        <w:wordWrap/>
        <w:overflowPunct/>
        <w:topLinePunct w:val="0"/>
        <w:autoSpaceDE/>
        <w:autoSpaceDN/>
        <w:bidi w:val="0"/>
        <w:spacing w:line="480" w:lineRule="auto"/>
        <w:ind w:firstLine="720" w:firstLineChars="200"/>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（二）财政性预算资金、政府专项建设资金（基金）、政府债券资金以及其他财政性资金占投资总额的比例未超过50%，但政府拥有项目建设或者运营控制权的建设项目；</w:t>
      </w:r>
    </w:p>
    <w:p w14:paraId="46395FB1">
      <w:pPr>
        <w:keepNext w:val="0"/>
        <w:keepLines w:val="0"/>
        <w:pageBreakBefore w:val="0"/>
        <w:widowControl/>
        <w:kinsoku/>
        <w:wordWrap/>
        <w:overflowPunct/>
        <w:topLinePunct w:val="0"/>
        <w:autoSpaceDE/>
        <w:autoSpaceDN/>
        <w:bidi w:val="0"/>
        <w:spacing w:line="480" w:lineRule="auto"/>
        <w:ind w:firstLine="720" w:firstLineChars="200"/>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（三）法律、法规、规章及规范性文件规定的其他政府投资建设项目。</w:t>
      </w:r>
    </w:p>
    <w:p w14:paraId="25FA0439">
      <w:pPr>
        <w:keepNext w:val="0"/>
        <w:keepLines w:val="0"/>
        <w:pageBreakBefore w:val="0"/>
        <w:widowControl/>
        <w:kinsoku/>
        <w:wordWrap/>
        <w:overflowPunct/>
        <w:topLinePunct w:val="0"/>
        <w:autoSpaceDE/>
        <w:autoSpaceDN/>
        <w:bidi w:val="0"/>
        <w:spacing w:line="480" w:lineRule="auto"/>
        <w:ind w:firstLine="720" w:firstLineChars="200"/>
        <w:textAlignment w:val="auto"/>
        <w:rPr>
          <w:rFonts w:hint="eastAsia" w:ascii="微软雅黑" w:hAnsi="微软雅黑" w:eastAsia="微软雅黑" w:cs="微软雅黑"/>
          <w:b/>
          <w:kern w:val="0"/>
          <w:sz w:val="36"/>
          <w:szCs w:val="36"/>
        </w:rPr>
      </w:pPr>
      <w:r>
        <w:rPr>
          <w:rFonts w:hint="eastAsia" w:ascii="微软雅黑" w:hAnsi="微软雅黑" w:eastAsia="微软雅黑" w:cs="微软雅黑"/>
          <w:b/>
          <w:kern w:val="0"/>
          <w:sz w:val="36"/>
          <w:szCs w:val="36"/>
        </w:rPr>
        <w:t xml:space="preserve">第四条 </w:t>
      </w:r>
      <w:r>
        <w:rPr>
          <w:rFonts w:hint="eastAsia" w:ascii="微软雅黑" w:hAnsi="微软雅黑" w:eastAsia="微软雅黑" w:cs="微软雅黑"/>
          <w:kern w:val="0"/>
          <w:sz w:val="36"/>
          <w:szCs w:val="36"/>
        </w:rPr>
        <w:t>建设单位应当在每年第四季度制定下一年度建设项目计划，经相关部门审批后，和资金来源计划一并报送至财政金融局评审单位，评审单位根据年度建设项目计划确定全年工作安排。</w:t>
      </w:r>
    </w:p>
    <w:p w14:paraId="06FBDB08">
      <w:pPr>
        <w:keepNext w:val="0"/>
        <w:keepLines w:val="0"/>
        <w:pageBreakBefore w:val="0"/>
        <w:widowControl/>
        <w:kinsoku/>
        <w:wordWrap/>
        <w:overflowPunct/>
        <w:topLinePunct w:val="0"/>
        <w:autoSpaceDE/>
        <w:autoSpaceDN/>
        <w:bidi w:val="0"/>
        <w:spacing w:line="480" w:lineRule="auto"/>
        <w:ind w:firstLine="720" w:firstLineChars="200"/>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 xml:space="preserve">第五条 </w:t>
      </w:r>
      <w:r>
        <w:rPr>
          <w:rFonts w:hint="eastAsia" w:ascii="微软雅黑" w:hAnsi="微软雅黑" w:eastAsia="微软雅黑" w:cs="微软雅黑"/>
          <w:kern w:val="0"/>
          <w:sz w:val="36"/>
          <w:szCs w:val="36"/>
        </w:rPr>
        <w:t>项目初步设计和投资概算批准后，项目单位必须严格执行，不得擅自增加建设内容、扩大建设规模、提高建设标准、改变设计方案。</w:t>
      </w:r>
    </w:p>
    <w:p w14:paraId="03A0734F">
      <w:pPr>
        <w:keepNext w:val="0"/>
        <w:keepLines w:val="0"/>
        <w:pageBreakBefore w:val="0"/>
        <w:widowControl/>
        <w:kinsoku/>
        <w:wordWrap/>
        <w:overflowPunct/>
        <w:topLinePunct w:val="0"/>
        <w:autoSpaceDE/>
        <w:autoSpaceDN/>
        <w:bidi w:val="0"/>
        <w:spacing w:line="480" w:lineRule="auto"/>
        <w:ind w:firstLine="720" w:firstLineChars="200"/>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项目建设单位在施工图设计阶段应充分组织勘察设计单位对施工场地及地质条件进行详细踏勘，确保设计方案的准确性和可行性，避免后期施工时因地质或场地等问题产生变更，从而增加工程投资。</w:t>
      </w:r>
    </w:p>
    <w:p w14:paraId="0F23D032">
      <w:pPr>
        <w:keepNext w:val="0"/>
        <w:keepLines w:val="0"/>
        <w:pageBreakBefore w:val="0"/>
        <w:widowControl/>
        <w:kinsoku/>
        <w:wordWrap/>
        <w:overflowPunct/>
        <w:topLinePunct w:val="0"/>
        <w:autoSpaceDE/>
        <w:autoSpaceDN/>
        <w:bidi w:val="0"/>
        <w:spacing w:line="480" w:lineRule="auto"/>
        <w:ind w:firstLine="720" w:firstLineChars="200"/>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建设单位应开展施工图限额设计，工程总概算及单项工程概算均不得突破已确定的投资规模。</w:t>
      </w:r>
    </w:p>
    <w:p w14:paraId="552E6CBD">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b/>
          <w:kern w:val="0"/>
          <w:sz w:val="36"/>
          <w:szCs w:val="36"/>
        </w:rPr>
      </w:pPr>
      <w:r>
        <w:rPr>
          <w:rFonts w:hint="eastAsia" w:ascii="微软雅黑" w:hAnsi="微软雅黑" w:eastAsia="微软雅黑" w:cs="微软雅黑"/>
          <w:b/>
          <w:kern w:val="0"/>
          <w:sz w:val="36"/>
          <w:szCs w:val="36"/>
        </w:rPr>
        <w:t xml:space="preserve">第六条 </w:t>
      </w:r>
      <w:r>
        <w:rPr>
          <w:rFonts w:hint="eastAsia" w:ascii="微软雅黑" w:hAnsi="微软雅黑" w:eastAsia="微软雅黑" w:cs="微软雅黑"/>
          <w:kern w:val="0"/>
          <w:sz w:val="36"/>
          <w:szCs w:val="36"/>
        </w:rPr>
        <w:t>建设单位应当对30万元以上（含30万元）的政府投资建设项目，采用工程量清单方式计价，编制招标控制价。评审单位依法对建设单位报送的招标控制价进行审核，并接受审计监督。</w:t>
      </w:r>
    </w:p>
    <w:p w14:paraId="19716A67">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b/>
          <w:kern w:val="0"/>
          <w:sz w:val="36"/>
          <w:szCs w:val="36"/>
        </w:rPr>
      </w:pPr>
      <w:r>
        <w:rPr>
          <w:rFonts w:hint="eastAsia" w:ascii="微软雅黑" w:hAnsi="微软雅黑" w:eastAsia="微软雅黑" w:cs="微软雅黑"/>
          <w:b/>
          <w:kern w:val="0"/>
          <w:sz w:val="36"/>
          <w:szCs w:val="36"/>
        </w:rPr>
        <w:t xml:space="preserve">第七条 </w:t>
      </w:r>
      <w:r>
        <w:rPr>
          <w:rFonts w:hint="eastAsia" w:ascii="微软雅黑" w:hAnsi="微软雅黑" w:eastAsia="微软雅黑" w:cs="微软雅黑"/>
          <w:kern w:val="0"/>
          <w:sz w:val="36"/>
          <w:szCs w:val="36"/>
        </w:rPr>
        <w:t>建设单位应当根据招标文件签订建设工程施工合同，并在合同中对计价依据、计价方式、合同价格类型及签约合同价等内容作出明确且具体约定。</w:t>
      </w:r>
    </w:p>
    <w:p w14:paraId="6B1DBA55">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 xml:space="preserve">第八条 </w:t>
      </w:r>
      <w:r>
        <w:rPr>
          <w:rFonts w:hint="eastAsia" w:ascii="微软雅黑" w:hAnsi="微软雅黑" w:eastAsia="微软雅黑" w:cs="微软雅黑"/>
          <w:kern w:val="0"/>
          <w:sz w:val="36"/>
          <w:szCs w:val="36"/>
        </w:rPr>
        <w:t>评审单位应当依法对30万元以上（含30万元）的政府投资建设项目进行施工阶段的现场核查及竣工结算审核，并依法接受审计监督。不足30万元的政府投资建设项目的工程造价审核工作，由建设单位组织实施。</w:t>
      </w:r>
    </w:p>
    <w:p w14:paraId="6A3C5252">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b/>
          <w:kern w:val="0"/>
          <w:sz w:val="36"/>
          <w:szCs w:val="36"/>
        </w:rPr>
      </w:pPr>
      <w:r>
        <w:rPr>
          <w:rFonts w:hint="eastAsia" w:ascii="微软雅黑" w:hAnsi="微软雅黑" w:eastAsia="微软雅黑" w:cs="微软雅黑"/>
          <w:kern w:val="0"/>
          <w:sz w:val="36"/>
          <w:szCs w:val="36"/>
        </w:rPr>
        <w:t>市政道路维护、公共设施（小区内设施维修维护、路灯、环卫设施维护、绿化工程日常养护、排水系统维护、雨污水管道清掏）等日常维护工作，由建设单位及其主管部门按照相关要求自行组织实施。</w:t>
      </w:r>
    </w:p>
    <w:p w14:paraId="0EF5B84C">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b/>
          <w:kern w:val="0"/>
          <w:sz w:val="36"/>
          <w:szCs w:val="36"/>
        </w:rPr>
      </w:pPr>
      <w:r>
        <w:rPr>
          <w:rFonts w:hint="eastAsia" w:ascii="微软雅黑" w:hAnsi="微软雅黑" w:eastAsia="微软雅黑" w:cs="微软雅黑"/>
          <w:b/>
          <w:kern w:val="0"/>
          <w:sz w:val="36"/>
          <w:szCs w:val="36"/>
        </w:rPr>
        <w:t xml:space="preserve">第九条 </w:t>
      </w:r>
      <w:r>
        <w:rPr>
          <w:rFonts w:hint="eastAsia" w:ascii="微软雅黑" w:hAnsi="微软雅黑" w:eastAsia="微软雅黑" w:cs="微软雅黑"/>
          <w:kern w:val="0"/>
          <w:sz w:val="36"/>
          <w:szCs w:val="36"/>
        </w:rPr>
        <w:t>建设单位及其主管部门是建设工程造价管理工作的主体责任人，应当加强对本单位、本系统政府投资建设项目的工程造价内部控制管理，并对提供至评审单位审核资料的真实性、完整性、准确性、合法性负责。</w:t>
      </w:r>
    </w:p>
    <w:p w14:paraId="60EFB2A2">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 xml:space="preserve">第十条 </w:t>
      </w:r>
      <w:r>
        <w:rPr>
          <w:rFonts w:hint="eastAsia" w:ascii="微软雅黑" w:hAnsi="微软雅黑" w:eastAsia="微软雅黑" w:cs="微软雅黑"/>
          <w:kern w:val="0"/>
          <w:sz w:val="36"/>
          <w:szCs w:val="36"/>
        </w:rPr>
        <w:t>建设单位及评审单位按照政府采购制度及有关规定，依法委托有相应资质的社会中介机构协助完成政府投资项目工程造价的编审及现场核查工作。</w:t>
      </w:r>
    </w:p>
    <w:p w14:paraId="04E2E8E3">
      <w:pPr>
        <w:keepNext w:val="0"/>
        <w:keepLines w:val="0"/>
        <w:pageBreakBefore w:val="0"/>
        <w:kinsoku/>
        <w:wordWrap/>
        <w:overflowPunct/>
        <w:topLinePunct w:val="0"/>
        <w:autoSpaceDE/>
        <w:autoSpaceDN/>
        <w:bidi w:val="0"/>
        <w:spacing w:line="480" w:lineRule="auto"/>
        <w:ind w:firstLine="720" w:firstLineChars="200"/>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 xml:space="preserve">第十一条 </w:t>
      </w:r>
      <w:r>
        <w:rPr>
          <w:rFonts w:hint="eastAsia" w:ascii="微软雅黑" w:hAnsi="微软雅黑" w:eastAsia="微软雅黑" w:cs="微软雅黑"/>
          <w:kern w:val="0"/>
          <w:sz w:val="36"/>
          <w:szCs w:val="36"/>
        </w:rPr>
        <w:t>工程造价审核工作应坚持客观、公平、公正的原则。</w:t>
      </w:r>
    </w:p>
    <w:p w14:paraId="235FFC1D">
      <w:pPr>
        <w:keepNext w:val="0"/>
        <w:keepLines w:val="0"/>
        <w:pageBreakBefore w:val="0"/>
        <w:kinsoku/>
        <w:wordWrap/>
        <w:overflowPunct/>
        <w:topLinePunct w:val="0"/>
        <w:autoSpaceDE/>
        <w:autoSpaceDN/>
        <w:bidi w:val="0"/>
        <w:adjustRightInd w:val="0"/>
        <w:snapToGrid w:val="0"/>
        <w:spacing w:before="240" w:after="240" w:line="480" w:lineRule="auto"/>
        <w:jc w:val="center"/>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第二章    招标控制价审核工作</w:t>
      </w:r>
    </w:p>
    <w:p w14:paraId="0E5AB9D9">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第十二条</w:t>
      </w:r>
      <w:r>
        <w:rPr>
          <w:rFonts w:hint="eastAsia" w:ascii="微软雅黑" w:hAnsi="微软雅黑" w:eastAsia="微软雅黑" w:cs="微软雅黑"/>
          <w:kern w:val="0"/>
          <w:sz w:val="36"/>
          <w:szCs w:val="36"/>
        </w:rPr>
        <w:t xml:space="preserve"> 30万元以上（含30万元）的政府投资建设项目，在批准立项后，建设单位应当按要求报送招标控制价审核资料，申请招标控制价审核。</w:t>
      </w:r>
    </w:p>
    <w:p w14:paraId="6106D54C">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对使用财政性资金的政府投资建设项目，招标控制价编制时暂列金额、暂估价占比上限不得超过10%。</w:t>
      </w:r>
    </w:p>
    <w:p w14:paraId="2A1421ED">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第十三条</w:t>
      </w:r>
      <w:r>
        <w:rPr>
          <w:rFonts w:hint="eastAsia" w:ascii="微软雅黑" w:hAnsi="微软雅黑" w:eastAsia="微软雅黑" w:cs="微软雅黑"/>
          <w:kern w:val="0"/>
          <w:sz w:val="36"/>
          <w:szCs w:val="36"/>
        </w:rPr>
        <w:t xml:space="preserve"> 评审单位对招标控制价进行审核，出具审核意见后，建设单位方可按有关规定进行招标工作。招标控制价未报</w:t>
      </w:r>
    </w:p>
    <w:p w14:paraId="58B87138">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评审单位审核的政府投资建设项目，不得进行招标。</w:t>
      </w:r>
    </w:p>
    <w:p w14:paraId="3E7083A0">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第十四条</w:t>
      </w:r>
      <w:r>
        <w:rPr>
          <w:rFonts w:hint="eastAsia" w:ascii="微软雅黑" w:hAnsi="微软雅黑" w:eastAsia="微软雅黑" w:cs="微软雅黑"/>
          <w:kern w:val="0"/>
          <w:sz w:val="36"/>
          <w:szCs w:val="36"/>
        </w:rPr>
        <w:t xml:space="preserve"> 已报送审核的招标控制价原则上不得变更。如确需变更，建设单位需提供情况说明并报管委会领导审议同意后方可继续审核。</w:t>
      </w:r>
    </w:p>
    <w:p w14:paraId="11A3890C">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第十五条</w:t>
      </w:r>
      <w:r>
        <w:rPr>
          <w:rFonts w:hint="eastAsia" w:ascii="微软雅黑" w:hAnsi="微软雅黑" w:eastAsia="微软雅黑" w:cs="微软雅黑"/>
          <w:kern w:val="0"/>
          <w:sz w:val="36"/>
          <w:szCs w:val="36"/>
        </w:rPr>
        <w:t xml:space="preserve"> 评审单位须以《建设工程工程量清单计价规范》和相关工程量计算规范，国家或省级、行业建设主管部门颁发的计价依据和计价办法，工程造价管理机构发布的工程造价信息及建设单位提供的审核资料等为依据进行招标控制价审核工作。</w:t>
      </w:r>
    </w:p>
    <w:p w14:paraId="5DD5E5C8">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第十六条</w:t>
      </w:r>
      <w:r>
        <w:rPr>
          <w:rFonts w:hint="eastAsia" w:ascii="微软雅黑" w:hAnsi="微软雅黑" w:eastAsia="微软雅黑" w:cs="微软雅黑"/>
          <w:kern w:val="0"/>
          <w:sz w:val="36"/>
          <w:szCs w:val="36"/>
        </w:rPr>
        <w:t xml:space="preserve"> 评审单位应根据项目情况在5-15天内完成对招标控制价的审核工作。</w:t>
      </w:r>
    </w:p>
    <w:p w14:paraId="62BF83C6">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第十七条</w:t>
      </w:r>
      <w:r>
        <w:rPr>
          <w:rFonts w:hint="eastAsia" w:ascii="微软雅黑" w:hAnsi="微软雅黑" w:eastAsia="微软雅黑" w:cs="微软雅黑"/>
          <w:kern w:val="0"/>
          <w:sz w:val="36"/>
          <w:szCs w:val="36"/>
        </w:rPr>
        <w:t xml:space="preserve"> 审核完成后，由评审单位出具《招标控制价审核确认书》，建设单位收到《招标控制价审核确认书》起3个工作日内书面反馈意见，逾期未反馈意见的，视为同意。</w:t>
      </w:r>
    </w:p>
    <w:p w14:paraId="7FAA4846">
      <w:pPr>
        <w:keepNext w:val="0"/>
        <w:keepLines w:val="0"/>
        <w:pageBreakBefore w:val="0"/>
        <w:kinsoku/>
        <w:wordWrap/>
        <w:overflowPunct/>
        <w:topLinePunct w:val="0"/>
        <w:autoSpaceDE/>
        <w:autoSpaceDN/>
        <w:bidi w:val="0"/>
        <w:adjustRightInd w:val="0"/>
        <w:snapToGrid w:val="0"/>
        <w:spacing w:before="240" w:after="240" w:line="480" w:lineRule="auto"/>
        <w:ind w:firstLine="720" w:firstLineChars="200"/>
        <w:jc w:val="center"/>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第三章    现场核查工作</w:t>
      </w:r>
    </w:p>
    <w:p w14:paraId="15319ABA">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第十八条</w:t>
      </w:r>
      <w:r>
        <w:rPr>
          <w:rFonts w:hint="eastAsia" w:ascii="微软雅黑" w:hAnsi="微软雅黑" w:eastAsia="微软雅黑" w:cs="微软雅黑"/>
          <w:kern w:val="0"/>
          <w:sz w:val="36"/>
          <w:szCs w:val="36"/>
        </w:rPr>
        <w:t xml:space="preserve"> 30万元以上（含30万元）的政府投资建设项目，建设单位应当在项目开工前，将拟开工项目报评审单位备案，并按要求提交核查资料。</w:t>
      </w:r>
    </w:p>
    <w:p w14:paraId="577DA617">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第十九条</w:t>
      </w:r>
      <w:r>
        <w:rPr>
          <w:rFonts w:hint="eastAsia" w:ascii="微软雅黑" w:hAnsi="微软雅黑" w:eastAsia="微软雅黑" w:cs="微软雅黑"/>
          <w:color w:val="384146"/>
          <w:kern w:val="0"/>
          <w:sz w:val="36"/>
          <w:szCs w:val="36"/>
          <w:lang w:bidi="ar"/>
        </w:rPr>
        <w:t xml:space="preserve"> </w:t>
      </w:r>
      <w:r>
        <w:rPr>
          <w:rFonts w:hint="eastAsia" w:ascii="微软雅黑" w:hAnsi="微软雅黑" w:eastAsia="微软雅黑" w:cs="微软雅黑"/>
          <w:kern w:val="0"/>
          <w:sz w:val="36"/>
          <w:szCs w:val="36"/>
        </w:rPr>
        <w:t>项目开工后，</w:t>
      </w:r>
      <w:bookmarkStart w:id="0" w:name="OLE_LINK6"/>
      <w:bookmarkStart w:id="1" w:name="OLE_LINK5"/>
      <w:r>
        <w:rPr>
          <w:rFonts w:hint="eastAsia" w:ascii="微软雅黑" w:hAnsi="微软雅黑" w:eastAsia="微软雅黑" w:cs="微软雅黑"/>
          <w:kern w:val="0"/>
          <w:sz w:val="36"/>
          <w:szCs w:val="36"/>
        </w:rPr>
        <w:t>建设单位及其主管部门</w:t>
      </w:r>
      <w:bookmarkEnd w:id="0"/>
      <w:bookmarkEnd w:id="1"/>
      <w:r>
        <w:rPr>
          <w:rFonts w:hint="eastAsia" w:ascii="微软雅黑" w:hAnsi="微软雅黑" w:eastAsia="微软雅黑" w:cs="微软雅黑"/>
          <w:kern w:val="0"/>
          <w:sz w:val="36"/>
          <w:szCs w:val="36"/>
        </w:rPr>
        <w:t>应根据项目现场情况明确踏勘内容后，会同评审单位进行现场核查。如遇拆除、设计变更、设计图纸未列明事项、基槽降水、换填、非常规施工做法及隐蔽工程、涉及重点设备及材料等影响造价较大的价格变化及现场情况，需提供影像资料，建设单位及其主管部门应及时告知评审单位实施核查并签字确认，应告知而未告知评审单位实施核查的内容，原则上在结算审核时将不予计取。</w:t>
      </w:r>
    </w:p>
    <w:p w14:paraId="2E6F246F">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第二十条</w:t>
      </w:r>
      <w:r>
        <w:rPr>
          <w:rFonts w:hint="eastAsia" w:ascii="微软雅黑" w:hAnsi="微软雅黑" w:eastAsia="微软雅黑" w:cs="微软雅黑"/>
          <w:kern w:val="0"/>
          <w:sz w:val="36"/>
          <w:szCs w:val="36"/>
        </w:rPr>
        <w:t xml:space="preserve"> 工程洽商记录须由建设单位、监理单位、施工单位以及评审单位委托的社会中介机构共同签认。工程洽商记录应在需签证事项发生后七日内完成签字确认工作，过期不补。</w:t>
      </w:r>
    </w:p>
    <w:p w14:paraId="4602C466">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学校及非预算单位作为建设单位的，其主管部门也需签认工程洽商记录。如与合同内容相悖离的，不予认可。</w:t>
      </w:r>
    </w:p>
    <w:p w14:paraId="55FBF37F">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第二十一条</w:t>
      </w:r>
      <w:r>
        <w:rPr>
          <w:rFonts w:hint="eastAsia" w:ascii="微软雅黑" w:hAnsi="微软雅黑" w:eastAsia="微软雅黑" w:cs="微软雅黑"/>
          <w:kern w:val="0"/>
          <w:sz w:val="36"/>
          <w:szCs w:val="36"/>
        </w:rPr>
        <w:t xml:space="preserve"> 在建设过程中，工程变更审批应严格执行国家规定的基本建设程序。变更后的总投资金额原则上不得超过签约合同价。因不可预见因素，确需超合同价款的项目，审批程序如下：</w:t>
      </w:r>
    </w:p>
    <w:p w14:paraId="7AAC0B15">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一）累计变更金额未超过签约合同价10%,且累计变更金额不超过100万元的：建设单位及其主管部门应按照行业管理要求进行审核，并将审核结果提交管委会分管建设单位的领导组织专题会议研究审定。经会议同意，并根据相关法律法规完善工程项目建设程序；</w:t>
      </w:r>
    </w:p>
    <w:p w14:paraId="20468353">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二）累计变更金额未超过签约合同价10%,但累计变更金额在100万-500万元（含500万元）的：建设单位及其主管部门应会同监理、施工、勘察、设计等单位负责人对工程变更的可行性和必要性进行论证。论证通过变更的，由建设单位将论证结果提交管委会主任办公会议研究审定。经会议同意，可根据相关法律法规完善工程项目建设程序；</w:t>
      </w:r>
    </w:p>
    <w:p w14:paraId="1F36D9D6">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三）累计变更金额未超过签约合同价10%,但累计变更金额达到500万元以上的：建设单位及其主管部门应会同监理、施工、勘察、设计等单位负责人对工程变更的可行性和必要性进行论证。论证通过变更的，由建设单位将论证结果提交管委会常务会议研究审定。经会议同意，可根据相关法律法规完善工程项目建设程序；</w:t>
      </w:r>
    </w:p>
    <w:p w14:paraId="5EFFE6A0">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四）累计变更金额超过签约合同价10%的：建设单位及其主管部门应会同监理、施工、勘察、设计等单位负责人对工程变更的可行性和必要性进行论证。论证通过变更的，由建设单位将论证结果提交管委会常务会议研审定。经会议同意，可根据相关法律法规完善工程项目建设程序；</w:t>
      </w:r>
    </w:p>
    <w:p w14:paraId="7ABF04AE">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（五）如工程变更涉及</w:t>
      </w:r>
      <w:bookmarkStart w:id="2" w:name="OLE_LINK14"/>
      <w:bookmarkStart w:id="3" w:name="OLE_LINK13"/>
      <w:r>
        <w:rPr>
          <w:rFonts w:hint="eastAsia" w:ascii="微软雅黑" w:hAnsi="微软雅黑" w:eastAsia="微软雅黑" w:cs="微软雅黑"/>
          <w:kern w:val="0"/>
          <w:sz w:val="36"/>
          <w:szCs w:val="36"/>
        </w:rPr>
        <w:t>应急抢险等紧急情况</w:t>
      </w:r>
      <w:bookmarkEnd w:id="2"/>
      <w:bookmarkEnd w:id="3"/>
      <w:r>
        <w:rPr>
          <w:rFonts w:hint="eastAsia" w:ascii="微软雅黑" w:hAnsi="微软雅黑" w:eastAsia="微软雅黑" w:cs="微软雅黑"/>
          <w:kern w:val="0"/>
          <w:sz w:val="36"/>
          <w:szCs w:val="36"/>
        </w:rPr>
        <w:t>，必须立即施工的，</w:t>
      </w:r>
      <w:bookmarkStart w:id="4" w:name="OLE_LINK16"/>
      <w:bookmarkStart w:id="5" w:name="OLE_LINK15"/>
      <w:r>
        <w:rPr>
          <w:rFonts w:hint="eastAsia" w:ascii="微软雅黑" w:hAnsi="微软雅黑" w:eastAsia="微软雅黑" w:cs="微软雅黑"/>
          <w:kern w:val="0"/>
          <w:sz w:val="36"/>
          <w:szCs w:val="36"/>
        </w:rPr>
        <w:t>建设单位可先行组织实施，并在24小时内向管委会领导书面报告</w:t>
      </w:r>
      <w:bookmarkEnd w:id="4"/>
      <w:bookmarkEnd w:id="5"/>
      <w:r>
        <w:rPr>
          <w:rFonts w:hint="eastAsia" w:ascii="微软雅黑" w:hAnsi="微软雅黑" w:eastAsia="微软雅黑" w:cs="微软雅黑"/>
          <w:kern w:val="0"/>
          <w:sz w:val="36"/>
          <w:szCs w:val="36"/>
        </w:rPr>
        <w:t>。经审批同意后，建设单位应在变更发生之日起15个工作日内，按本办法补办相关手续。</w:t>
      </w:r>
    </w:p>
    <w:p w14:paraId="320B9143">
      <w:pPr>
        <w:keepNext w:val="0"/>
        <w:keepLines w:val="0"/>
        <w:pageBreakBefore w:val="0"/>
        <w:kinsoku/>
        <w:wordWrap/>
        <w:overflowPunct/>
        <w:topLinePunct w:val="0"/>
        <w:autoSpaceDE/>
        <w:autoSpaceDN/>
        <w:bidi w:val="0"/>
        <w:adjustRightInd w:val="0"/>
        <w:snapToGrid w:val="0"/>
        <w:spacing w:before="240" w:after="240" w:line="480" w:lineRule="auto"/>
        <w:ind w:firstLine="720" w:firstLineChars="200"/>
        <w:jc w:val="center"/>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第四章   工程结算审核工作</w:t>
      </w:r>
    </w:p>
    <w:p w14:paraId="28326CC9">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第二十二条</w:t>
      </w:r>
      <w:r>
        <w:rPr>
          <w:rFonts w:hint="eastAsia" w:ascii="微软雅黑" w:hAnsi="微软雅黑" w:eastAsia="微软雅黑" w:cs="微软雅黑"/>
          <w:kern w:val="0"/>
          <w:sz w:val="36"/>
          <w:szCs w:val="36"/>
        </w:rPr>
        <w:t xml:space="preserve"> 30万元以上（含30万元）的政府投资建设项目，建设单位应当在工程竣工验收之日起60日内或按照《建设工程施工合同》“竣工结算申请”约定的时限及时编制竣工文件，并按要求将审核资料一次性报送齐全，已报送的资料审核过程中原则上不得增补，如因客观原因确需增补的，建设单位及其主管部门应对补充事项出具情况说明，</w:t>
      </w:r>
      <w:bookmarkStart w:id="6" w:name="OLE_LINK4"/>
      <w:bookmarkStart w:id="7" w:name="OLE_LINK3"/>
      <w:r>
        <w:rPr>
          <w:rFonts w:hint="eastAsia" w:ascii="微软雅黑" w:hAnsi="微软雅黑" w:eastAsia="微软雅黑" w:cs="微软雅黑"/>
          <w:kern w:val="0"/>
          <w:sz w:val="36"/>
          <w:szCs w:val="36"/>
        </w:rPr>
        <w:t>并由</w:t>
      </w:r>
      <w:bookmarkStart w:id="8" w:name="OLE_LINK26"/>
      <w:bookmarkStart w:id="9" w:name="OLE_LINK25"/>
      <w:r>
        <w:rPr>
          <w:rFonts w:hint="eastAsia" w:ascii="微软雅黑" w:hAnsi="微软雅黑" w:eastAsia="微软雅黑" w:cs="微软雅黑"/>
          <w:kern w:val="0"/>
          <w:sz w:val="36"/>
          <w:szCs w:val="36"/>
        </w:rPr>
        <w:t>建设单位项目负责人、法定代表人（或建设单位负责人）</w:t>
      </w:r>
      <w:bookmarkEnd w:id="8"/>
      <w:bookmarkEnd w:id="9"/>
      <w:r>
        <w:rPr>
          <w:rFonts w:hint="eastAsia" w:ascii="微软雅黑" w:hAnsi="微软雅黑" w:eastAsia="微软雅黑" w:cs="微软雅黑"/>
          <w:kern w:val="0"/>
          <w:sz w:val="36"/>
          <w:szCs w:val="36"/>
        </w:rPr>
        <w:t>审批后报送评审单位。</w:t>
      </w:r>
      <w:bookmarkEnd w:id="6"/>
      <w:bookmarkEnd w:id="7"/>
    </w:p>
    <w:p w14:paraId="4E476580">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第二十三条</w:t>
      </w:r>
      <w:r>
        <w:rPr>
          <w:rFonts w:hint="eastAsia" w:ascii="微软雅黑" w:hAnsi="微软雅黑" w:eastAsia="微软雅黑" w:cs="微软雅黑"/>
          <w:kern w:val="0"/>
          <w:sz w:val="36"/>
          <w:szCs w:val="36"/>
        </w:rPr>
        <w:t xml:space="preserve"> 已报送审核的竣工结算书原则上不得增补。如确需增补，建设单位需提供情况说明并由建设单位项目负责人、法定代表人（或建设单位负责人）、管委会分管领导审批后方可报送评审单位继续审核。</w:t>
      </w:r>
    </w:p>
    <w:p w14:paraId="0BC9F507">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第二十四条</w:t>
      </w:r>
      <w:r>
        <w:rPr>
          <w:rFonts w:hint="eastAsia" w:ascii="微软雅黑" w:hAnsi="微软雅黑" w:eastAsia="微软雅黑" w:cs="微软雅黑"/>
          <w:kern w:val="0"/>
          <w:sz w:val="36"/>
          <w:szCs w:val="36"/>
        </w:rPr>
        <w:t xml:space="preserve"> 评审单位应根据项目情况在15-60天内完成对竣工结算的审核工作，如遇特殊情况，</w:t>
      </w:r>
      <w:bookmarkStart w:id="10" w:name="OLE_LINK12"/>
      <w:bookmarkStart w:id="11" w:name="OLE_LINK31"/>
      <w:r>
        <w:rPr>
          <w:rFonts w:hint="eastAsia" w:ascii="微软雅黑" w:hAnsi="微软雅黑" w:eastAsia="微软雅黑" w:cs="微软雅黑"/>
          <w:kern w:val="0"/>
          <w:sz w:val="36"/>
          <w:szCs w:val="36"/>
        </w:rPr>
        <w:t xml:space="preserve">审核时间可根据实际情况予以延期。 </w:t>
      </w:r>
    </w:p>
    <w:bookmarkEnd w:id="10"/>
    <w:bookmarkEnd w:id="11"/>
    <w:p w14:paraId="1A97DB4C">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对评审单位出具的建设项目结算审核征求意见函及审核结果，建设单位应在收到之日起5个工作日内签署意见，并由建设单位加盖公章、项目建设单位负责人签字；逾期未反馈意见的，则视为同意审核结果。</w:t>
      </w:r>
    </w:p>
    <w:p w14:paraId="4C8B7CBB">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第二十五条</w:t>
      </w:r>
      <w:r>
        <w:rPr>
          <w:rFonts w:hint="eastAsia" w:ascii="微软雅黑" w:hAnsi="微软雅黑" w:eastAsia="微软雅黑" w:cs="微软雅黑"/>
          <w:kern w:val="0"/>
          <w:sz w:val="36"/>
          <w:szCs w:val="36"/>
        </w:rPr>
        <w:t xml:space="preserve"> 在建设工程结算审核过程中如发生以下情况，终止对该项目的审核工作，评审单位将该项目竣工结算资料退回建设单位。</w:t>
      </w:r>
    </w:p>
    <w:p w14:paraId="1876DFEB">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（1)告知建设单位、施工单位进行审核核对，10个工作日不进行核对且无书面回复的；</w:t>
      </w:r>
    </w:p>
    <w:p w14:paraId="6F37D5EC">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（2)对于审核资料不完善，无法开展后续审核工作，建设单位、施工单位未在评审单位函告期限内完善审核所需资料的。</w:t>
      </w:r>
    </w:p>
    <w:p w14:paraId="5021191D">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color w:val="384146"/>
          <w:kern w:val="0"/>
          <w:sz w:val="36"/>
          <w:szCs w:val="36"/>
          <w:lang w:bidi="ar"/>
        </w:rPr>
      </w:pPr>
      <w:r>
        <w:rPr>
          <w:rFonts w:hint="eastAsia" w:ascii="微软雅黑" w:hAnsi="微软雅黑" w:eastAsia="微软雅黑" w:cs="微软雅黑"/>
          <w:b/>
          <w:kern w:val="0"/>
          <w:sz w:val="36"/>
          <w:szCs w:val="36"/>
        </w:rPr>
        <w:t>第二十六条</w:t>
      </w:r>
      <w:r>
        <w:rPr>
          <w:rFonts w:hint="eastAsia" w:ascii="微软雅黑" w:hAnsi="微软雅黑" w:eastAsia="微软雅黑" w:cs="微软雅黑"/>
          <w:kern w:val="0"/>
          <w:sz w:val="36"/>
          <w:szCs w:val="36"/>
        </w:rPr>
        <w:t xml:space="preserve"> 在建设工程结算审核过程中，如遇建设单位、施工单位不认可审核结果，7日内未提出书面意见，或提出意见与相关政策法规要求相违背的，评审单位将按照现有资料出具审核报告，终止该项目的审核工作。</w:t>
      </w:r>
    </w:p>
    <w:p w14:paraId="7E9DAC98">
      <w:pPr>
        <w:keepNext w:val="0"/>
        <w:keepLines w:val="0"/>
        <w:pageBreakBefore w:val="0"/>
        <w:kinsoku/>
        <w:wordWrap/>
        <w:overflowPunct/>
        <w:topLinePunct w:val="0"/>
        <w:autoSpaceDE/>
        <w:autoSpaceDN/>
        <w:bidi w:val="0"/>
        <w:adjustRightInd w:val="0"/>
        <w:snapToGrid w:val="0"/>
        <w:spacing w:before="240" w:after="240" w:line="480" w:lineRule="auto"/>
        <w:ind w:firstLine="720" w:firstLineChars="200"/>
        <w:jc w:val="center"/>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第五章    中介协审</w:t>
      </w:r>
    </w:p>
    <w:p w14:paraId="5823BCB5">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第二十七条</w:t>
      </w:r>
      <w:r>
        <w:rPr>
          <w:rFonts w:hint="eastAsia" w:ascii="微软雅黑" w:hAnsi="微软雅黑" w:eastAsia="微软雅黑" w:cs="微软雅黑"/>
          <w:kern w:val="0"/>
          <w:sz w:val="36"/>
          <w:szCs w:val="36"/>
        </w:rPr>
        <w:t xml:space="preserve"> 建设单位及评审单位可根据工作需要，在公平、公正、公开竞争的原则下，按照政府采购制度及有关规定委托具有相应资质的社会中介机构协助完成政府投资建设项目工程造价的编审工作。</w:t>
      </w:r>
    </w:p>
    <w:p w14:paraId="3C64F0E8">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第二十八条</w:t>
      </w:r>
      <w:r>
        <w:rPr>
          <w:rFonts w:hint="eastAsia" w:ascii="微软雅黑" w:hAnsi="微软雅黑" w:eastAsia="微软雅黑" w:cs="微软雅黑"/>
          <w:kern w:val="0"/>
          <w:sz w:val="36"/>
          <w:szCs w:val="36"/>
        </w:rPr>
        <w:t xml:space="preserve"> 受委托的中介机构应按照《包头稀土高新区工程造价审核工作选用中介机构管理暂行办法》的相关要求执业。</w:t>
      </w:r>
    </w:p>
    <w:p w14:paraId="5E878F8E">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第二十九条</w:t>
      </w:r>
      <w:r>
        <w:rPr>
          <w:rFonts w:hint="eastAsia" w:ascii="微软雅黑" w:hAnsi="微软雅黑" w:eastAsia="微软雅黑" w:cs="微软雅黑"/>
          <w:kern w:val="0"/>
          <w:sz w:val="36"/>
          <w:szCs w:val="36"/>
        </w:rPr>
        <w:t xml:space="preserve"> 同一项目，应当委托同一社会中介机构实施现场核查（现场管理）及竣工结算审核的全过程管理，但不得委托已实施该项目招标控制价编审的社会中介机构。</w:t>
      </w:r>
    </w:p>
    <w:p w14:paraId="2F6FE6FB">
      <w:pPr>
        <w:keepNext w:val="0"/>
        <w:keepLines w:val="0"/>
        <w:pageBreakBefore w:val="0"/>
        <w:kinsoku/>
        <w:wordWrap/>
        <w:overflowPunct/>
        <w:topLinePunct w:val="0"/>
        <w:autoSpaceDE/>
        <w:autoSpaceDN/>
        <w:bidi w:val="0"/>
        <w:adjustRightInd w:val="0"/>
        <w:snapToGrid w:val="0"/>
        <w:spacing w:before="240" w:after="240" w:line="480" w:lineRule="auto"/>
        <w:ind w:firstLine="720" w:firstLineChars="200"/>
        <w:jc w:val="center"/>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第六章    资料管理</w:t>
      </w:r>
    </w:p>
    <w:p w14:paraId="743D5408">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第三十条</w:t>
      </w:r>
      <w:r>
        <w:rPr>
          <w:rFonts w:hint="eastAsia" w:ascii="微软雅黑" w:hAnsi="微软雅黑" w:eastAsia="微软雅黑" w:cs="微软雅黑"/>
          <w:kern w:val="0"/>
          <w:sz w:val="36"/>
          <w:szCs w:val="36"/>
        </w:rPr>
        <w:t xml:space="preserve"> 建设单位应安排专人按照评审单位要求将审核资料报送至评审单位登记接收，未经评审单位登记接收的资料不得作为审核依据。</w:t>
      </w:r>
    </w:p>
    <w:p w14:paraId="757A78D2">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第三十一条</w:t>
      </w:r>
      <w:r>
        <w:rPr>
          <w:rFonts w:hint="eastAsia" w:ascii="微软雅黑" w:hAnsi="微软雅黑" w:eastAsia="微软雅黑" w:cs="微软雅黑"/>
          <w:kern w:val="0"/>
          <w:sz w:val="36"/>
          <w:szCs w:val="36"/>
        </w:rPr>
        <w:t xml:space="preserve"> 招标控制价审核完成后，评审单位及其委托的社会中介机构需及时将项目资料整理归档并长期保存。</w:t>
      </w:r>
    </w:p>
    <w:p w14:paraId="2F0EF9F8">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第三十二条</w:t>
      </w:r>
      <w:r>
        <w:rPr>
          <w:rFonts w:hint="eastAsia" w:ascii="微软雅黑" w:hAnsi="微软雅黑" w:eastAsia="微软雅黑" w:cs="微软雅黑"/>
          <w:kern w:val="0"/>
          <w:sz w:val="36"/>
          <w:szCs w:val="36"/>
        </w:rPr>
        <w:t xml:space="preserve"> 现场核查工作完成后，由评审单位项目负责人将项目资料退回建设单位。评审单位派专人对现场核查项目按年度建立台账、登记汇总保存。</w:t>
      </w:r>
    </w:p>
    <w:p w14:paraId="3FA682FD">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第三十三条</w:t>
      </w:r>
      <w:r>
        <w:rPr>
          <w:rFonts w:hint="eastAsia" w:ascii="微软雅黑" w:hAnsi="微软雅黑" w:eastAsia="微软雅黑" w:cs="微软雅黑"/>
          <w:kern w:val="0"/>
          <w:sz w:val="36"/>
          <w:szCs w:val="36"/>
        </w:rPr>
        <w:t xml:space="preserve"> 峻工结算审核完成后，建设单位和评审单位需分别将项目资料的原件整理归档并长期保存。评审单位委托的社会中介机构需及时将项目资料的复印件整理归档并长期保存。</w:t>
      </w:r>
    </w:p>
    <w:p w14:paraId="37E48B9F">
      <w:pPr>
        <w:keepNext w:val="0"/>
        <w:keepLines w:val="0"/>
        <w:pageBreakBefore w:val="0"/>
        <w:widowControl/>
        <w:kinsoku/>
        <w:wordWrap/>
        <w:overflowPunct/>
        <w:topLinePunct w:val="0"/>
        <w:autoSpaceDE/>
        <w:autoSpaceDN/>
        <w:bidi w:val="0"/>
        <w:spacing w:line="480" w:lineRule="auto"/>
        <w:ind w:firstLine="720" w:firstLineChars="200"/>
        <w:jc w:val="center"/>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第七章    附则</w:t>
      </w:r>
    </w:p>
    <w:p w14:paraId="4E7B24B6">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第三十四条</w:t>
      </w:r>
      <w:r>
        <w:rPr>
          <w:rFonts w:hint="eastAsia" w:ascii="微软雅黑" w:hAnsi="微软雅黑" w:eastAsia="微软雅黑" w:cs="微软雅黑"/>
          <w:kern w:val="0"/>
          <w:sz w:val="36"/>
          <w:szCs w:val="36"/>
        </w:rPr>
        <w:t xml:space="preserve"> 评审单位依法对建设单位报送的政府投资建设项目工程造价进行审核，并接受审计监督。</w:t>
      </w:r>
    </w:p>
    <w:p w14:paraId="4C757675">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第三十五条</w:t>
      </w:r>
      <w:r>
        <w:rPr>
          <w:rFonts w:hint="eastAsia" w:ascii="微软雅黑" w:hAnsi="微软雅黑" w:eastAsia="微软雅黑" w:cs="微软雅黑"/>
          <w:kern w:val="0"/>
          <w:sz w:val="36"/>
          <w:szCs w:val="36"/>
        </w:rPr>
        <w:t xml:space="preserve"> 国有资本占控股地位或者主导地位的企业投资建设项目、使用政府部门管理的国外援助资金或者社会捐赠资金投资的建设项目，参照本办法执行。</w:t>
      </w:r>
    </w:p>
    <w:p w14:paraId="640C5D27">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第三十六条</w:t>
      </w:r>
      <w:r>
        <w:rPr>
          <w:rFonts w:hint="eastAsia" w:ascii="微软雅黑" w:hAnsi="微软雅黑" w:eastAsia="微软雅黑" w:cs="微软雅黑"/>
          <w:kern w:val="0"/>
          <w:sz w:val="36"/>
          <w:szCs w:val="36"/>
        </w:rPr>
        <w:t xml:space="preserve"> 本办法自发文之日起30日后施行，有效期为2年。</w:t>
      </w:r>
    </w:p>
    <w:p w14:paraId="5DA91F76">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本办法施行前高新区发布的其他有关规定与本办法规定不符的，以本办法为准。今后国家、自治区在工程造价审核工作方面出台新的法律、法规、地方性法规及地方政府规章与本办法相冲突的，从其规定。</w:t>
      </w:r>
    </w:p>
    <w:p w14:paraId="687600AE">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rPr>
      </w:pPr>
      <w:r>
        <w:rPr>
          <w:rFonts w:hint="eastAsia" w:ascii="微软雅黑" w:hAnsi="微软雅黑" w:eastAsia="微软雅黑" w:cs="微软雅黑"/>
          <w:b/>
          <w:kern w:val="0"/>
          <w:sz w:val="36"/>
          <w:szCs w:val="36"/>
        </w:rPr>
        <w:t>第三十七条</w:t>
      </w:r>
      <w:r>
        <w:rPr>
          <w:rFonts w:hint="eastAsia" w:ascii="微软雅黑" w:hAnsi="微软雅黑" w:eastAsia="微软雅黑" w:cs="微软雅黑"/>
          <w:kern w:val="0"/>
          <w:sz w:val="36"/>
          <w:szCs w:val="36"/>
        </w:rPr>
        <w:t xml:space="preserve"> 本办法由财政金融局负责解释。</w:t>
      </w:r>
    </w:p>
    <w:p w14:paraId="247B9AC5">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lang w:val="en-US" w:eastAsia="zh-CN"/>
        </w:rPr>
      </w:pPr>
    </w:p>
    <w:p w14:paraId="1333C694">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eastAsia" w:ascii="微软雅黑" w:hAnsi="微软雅黑" w:eastAsia="微软雅黑" w:cs="微软雅黑"/>
          <w:kern w:val="0"/>
          <w:sz w:val="36"/>
          <w:szCs w:val="36"/>
          <w:lang w:val="en-US" w:eastAsia="zh-CN"/>
        </w:rPr>
      </w:pPr>
      <w:r>
        <w:rPr>
          <w:rFonts w:hint="eastAsia" w:ascii="微软雅黑" w:hAnsi="微软雅黑" w:eastAsia="微软雅黑" w:cs="微软雅黑"/>
          <w:kern w:val="0"/>
          <w:sz w:val="36"/>
          <w:szCs w:val="36"/>
          <w:lang w:val="en-US" w:eastAsia="zh-CN"/>
        </w:rPr>
        <w:t>附件</w:t>
      </w:r>
    </w:p>
    <w:p w14:paraId="0DBBC04B">
      <w:pPr>
        <w:keepNext w:val="0"/>
        <w:keepLines w:val="0"/>
        <w:pageBreakBefore w:val="0"/>
        <w:widowControl/>
        <w:kinsoku/>
        <w:wordWrap/>
        <w:overflowPunct/>
        <w:topLinePunct w:val="0"/>
        <w:autoSpaceDE/>
        <w:autoSpaceDN/>
        <w:bidi w:val="0"/>
        <w:spacing w:line="480" w:lineRule="auto"/>
        <w:ind w:firstLine="720" w:firstLineChars="200"/>
        <w:jc w:val="left"/>
        <w:textAlignment w:val="auto"/>
        <w:rPr>
          <w:rFonts w:hint="default" w:ascii="微软雅黑" w:hAnsi="微软雅黑" w:eastAsia="微软雅黑" w:cs="微软雅黑"/>
          <w:kern w:val="0"/>
          <w:sz w:val="36"/>
          <w:szCs w:val="36"/>
          <w:lang w:val="en-US" w:eastAsia="zh-CN"/>
        </w:rPr>
      </w:pPr>
    </w:p>
    <w:p w14:paraId="3C21B022">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政府投资项目工程造价审核标准一览表</w:t>
      </w:r>
    </w:p>
    <w:p w14:paraId="56B8D3F2">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p>
    <w:tbl>
      <w:tblPr>
        <w:tblStyle w:val="7"/>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1628"/>
        <w:gridCol w:w="1567"/>
        <w:gridCol w:w="1593"/>
        <w:gridCol w:w="1709"/>
      </w:tblGrid>
      <w:tr w14:paraId="3810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794" w:type="dxa"/>
            <w:vAlign w:val="center"/>
          </w:tcPr>
          <w:p w14:paraId="023F1449">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标准区间</w:t>
            </w:r>
          </w:p>
        </w:tc>
        <w:tc>
          <w:tcPr>
            <w:tcW w:w="1628" w:type="dxa"/>
            <w:vAlign w:val="center"/>
          </w:tcPr>
          <w:p w14:paraId="3D4F2407">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控制价</w:t>
            </w:r>
          </w:p>
        </w:tc>
        <w:tc>
          <w:tcPr>
            <w:tcW w:w="1567" w:type="dxa"/>
            <w:vAlign w:val="center"/>
          </w:tcPr>
          <w:p w14:paraId="3055F24A">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跟踪审查</w:t>
            </w:r>
          </w:p>
        </w:tc>
        <w:tc>
          <w:tcPr>
            <w:tcW w:w="1593" w:type="dxa"/>
            <w:vAlign w:val="center"/>
          </w:tcPr>
          <w:p w14:paraId="554491C3">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决算初审</w:t>
            </w:r>
          </w:p>
        </w:tc>
        <w:tc>
          <w:tcPr>
            <w:tcW w:w="1709" w:type="dxa"/>
            <w:vAlign w:val="center"/>
          </w:tcPr>
          <w:p w14:paraId="448778C5">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决算复审</w:t>
            </w:r>
          </w:p>
        </w:tc>
      </w:tr>
      <w:tr w14:paraId="163E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794" w:type="dxa"/>
            <w:vAlign w:val="center"/>
          </w:tcPr>
          <w:p w14:paraId="36EA23B1">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30万元以下</w:t>
            </w:r>
          </w:p>
        </w:tc>
        <w:tc>
          <w:tcPr>
            <w:tcW w:w="1628" w:type="dxa"/>
            <w:vAlign w:val="center"/>
          </w:tcPr>
          <w:p w14:paraId="2852FB25">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w:t>
            </w:r>
          </w:p>
        </w:tc>
        <w:tc>
          <w:tcPr>
            <w:tcW w:w="1567" w:type="dxa"/>
            <w:vAlign w:val="center"/>
          </w:tcPr>
          <w:p w14:paraId="5466CEE1">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O</w:t>
            </w:r>
          </w:p>
        </w:tc>
        <w:tc>
          <w:tcPr>
            <w:tcW w:w="1593" w:type="dxa"/>
            <w:vAlign w:val="center"/>
          </w:tcPr>
          <w:p w14:paraId="2A17D392">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O</w:t>
            </w:r>
          </w:p>
        </w:tc>
        <w:tc>
          <w:tcPr>
            <w:tcW w:w="1709" w:type="dxa"/>
            <w:vAlign w:val="center"/>
          </w:tcPr>
          <w:p w14:paraId="1D3D0F5C">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w:t>
            </w:r>
          </w:p>
        </w:tc>
      </w:tr>
      <w:tr w14:paraId="3D0F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794" w:type="dxa"/>
            <w:vAlign w:val="center"/>
          </w:tcPr>
          <w:p w14:paraId="26D7EA43">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30万元—100万元</w:t>
            </w:r>
          </w:p>
        </w:tc>
        <w:tc>
          <w:tcPr>
            <w:tcW w:w="1628" w:type="dxa"/>
            <w:vAlign w:val="center"/>
          </w:tcPr>
          <w:p w14:paraId="60BCB605">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w:t>
            </w:r>
          </w:p>
        </w:tc>
        <w:tc>
          <w:tcPr>
            <w:tcW w:w="1567" w:type="dxa"/>
            <w:vAlign w:val="center"/>
          </w:tcPr>
          <w:p w14:paraId="07FF1DB5">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w:t>
            </w:r>
          </w:p>
        </w:tc>
        <w:tc>
          <w:tcPr>
            <w:tcW w:w="1593" w:type="dxa"/>
            <w:vAlign w:val="center"/>
          </w:tcPr>
          <w:p w14:paraId="23FDD5E4">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w:t>
            </w:r>
          </w:p>
        </w:tc>
        <w:tc>
          <w:tcPr>
            <w:tcW w:w="1709" w:type="dxa"/>
            <w:vAlign w:val="center"/>
          </w:tcPr>
          <w:p w14:paraId="198C1E13">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w:t>
            </w:r>
          </w:p>
        </w:tc>
      </w:tr>
      <w:tr w14:paraId="167F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794" w:type="dxa"/>
            <w:vAlign w:val="center"/>
          </w:tcPr>
          <w:p w14:paraId="6DFFDA9C">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100万元以上</w:t>
            </w:r>
          </w:p>
        </w:tc>
        <w:tc>
          <w:tcPr>
            <w:tcW w:w="1628" w:type="dxa"/>
            <w:vAlign w:val="center"/>
          </w:tcPr>
          <w:p w14:paraId="6F99EDE2">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w:t>
            </w:r>
          </w:p>
        </w:tc>
        <w:tc>
          <w:tcPr>
            <w:tcW w:w="1567" w:type="dxa"/>
            <w:vAlign w:val="center"/>
          </w:tcPr>
          <w:p w14:paraId="443BADB3">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w:t>
            </w:r>
          </w:p>
        </w:tc>
        <w:tc>
          <w:tcPr>
            <w:tcW w:w="1593" w:type="dxa"/>
            <w:vAlign w:val="center"/>
          </w:tcPr>
          <w:p w14:paraId="2BF75ACA">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w:t>
            </w:r>
          </w:p>
        </w:tc>
        <w:tc>
          <w:tcPr>
            <w:tcW w:w="1709" w:type="dxa"/>
            <w:vAlign w:val="center"/>
          </w:tcPr>
          <w:p w14:paraId="4C58F90D">
            <w:pPr>
              <w:keepNext w:val="0"/>
              <w:keepLines w:val="0"/>
              <w:pageBreakBefore w:val="0"/>
              <w:kinsoku/>
              <w:wordWrap/>
              <w:overflowPunct/>
              <w:topLinePunct w:val="0"/>
              <w:autoSpaceDE/>
              <w:autoSpaceDN/>
              <w:bidi w:val="0"/>
              <w:spacing w:line="480" w:lineRule="auto"/>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w:t>
            </w:r>
          </w:p>
        </w:tc>
      </w:tr>
    </w:tbl>
    <w:p w14:paraId="139B3BC3">
      <w:pPr>
        <w:keepNext w:val="0"/>
        <w:keepLines w:val="0"/>
        <w:pageBreakBefore w:val="0"/>
        <w:kinsoku/>
        <w:wordWrap/>
        <w:overflowPunct/>
        <w:topLinePunct w:val="0"/>
        <w:autoSpaceDE/>
        <w:autoSpaceDN/>
        <w:bidi w:val="0"/>
        <w:spacing w:line="480" w:lineRule="auto"/>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注：凡“√”由评审部门组织实施</w:t>
      </w:r>
    </w:p>
    <w:p w14:paraId="1514478F">
      <w:pPr>
        <w:keepNext w:val="0"/>
        <w:keepLines w:val="0"/>
        <w:pageBreakBefore w:val="0"/>
        <w:kinsoku/>
        <w:wordWrap/>
        <w:overflowPunct/>
        <w:topLinePunct w:val="0"/>
        <w:autoSpaceDE/>
        <w:autoSpaceDN/>
        <w:bidi w:val="0"/>
        <w:spacing w:line="480" w:lineRule="auto"/>
        <w:ind w:firstLine="640"/>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凡“O”由建设单位组织实施</w:t>
      </w:r>
    </w:p>
    <w:p w14:paraId="68E9E83E">
      <w:pPr>
        <w:keepNext w:val="0"/>
        <w:keepLines w:val="0"/>
        <w:pageBreakBefore w:val="0"/>
        <w:kinsoku/>
        <w:wordWrap/>
        <w:overflowPunct/>
        <w:topLinePunct w:val="0"/>
        <w:autoSpaceDE/>
        <w:autoSpaceDN/>
        <w:bidi w:val="0"/>
        <w:spacing w:line="480" w:lineRule="auto"/>
        <w:ind w:firstLine="640"/>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凡“×”无需组织实施</w:t>
      </w:r>
    </w:p>
    <w:p w14:paraId="407D56B9">
      <w:pPr>
        <w:keepNext w:val="0"/>
        <w:keepLines w:val="0"/>
        <w:pageBreakBefore w:val="0"/>
        <w:kinsoku/>
        <w:wordWrap/>
        <w:overflowPunct/>
        <w:topLinePunct w:val="0"/>
        <w:autoSpaceDE/>
        <w:autoSpaceDN/>
        <w:bidi w:val="0"/>
        <w:spacing w:line="480" w:lineRule="auto"/>
        <w:textAlignment w:val="auto"/>
        <w:rPr>
          <w:rFonts w:hint="eastAsia" w:ascii="微软雅黑" w:hAnsi="微软雅黑" w:eastAsia="微软雅黑" w:cs="微软雅黑"/>
          <w:color w:val="2B3742"/>
          <w:sz w:val="36"/>
          <w:szCs w:val="36"/>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7F3C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DE6C0">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ADE6C0">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97A86"/>
    <w:rsid w:val="000545E7"/>
    <w:rsid w:val="000E58E1"/>
    <w:rsid w:val="001139BF"/>
    <w:rsid w:val="002B0036"/>
    <w:rsid w:val="00306126"/>
    <w:rsid w:val="00344366"/>
    <w:rsid w:val="00396600"/>
    <w:rsid w:val="00454005"/>
    <w:rsid w:val="00474A69"/>
    <w:rsid w:val="00484999"/>
    <w:rsid w:val="00487DDA"/>
    <w:rsid w:val="004C0186"/>
    <w:rsid w:val="005869D6"/>
    <w:rsid w:val="005C2DE1"/>
    <w:rsid w:val="006E0503"/>
    <w:rsid w:val="007C00A9"/>
    <w:rsid w:val="00A05A97"/>
    <w:rsid w:val="00A123B2"/>
    <w:rsid w:val="00BE581D"/>
    <w:rsid w:val="00C30460"/>
    <w:rsid w:val="00C32049"/>
    <w:rsid w:val="00D553DF"/>
    <w:rsid w:val="00DD1B09"/>
    <w:rsid w:val="00DD3475"/>
    <w:rsid w:val="00E42CB1"/>
    <w:rsid w:val="00ED13B0"/>
    <w:rsid w:val="00EF6EEC"/>
    <w:rsid w:val="00F4364C"/>
    <w:rsid w:val="00F46F11"/>
    <w:rsid w:val="024A3BA4"/>
    <w:rsid w:val="0FAA765A"/>
    <w:rsid w:val="14EA00BA"/>
    <w:rsid w:val="15FD3709"/>
    <w:rsid w:val="1AC06CBF"/>
    <w:rsid w:val="2E8C6168"/>
    <w:rsid w:val="33EE6F7E"/>
    <w:rsid w:val="3A7E47F2"/>
    <w:rsid w:val="49ED7D72"/>
    <w:rsid w:val="4ABF6D2F"/>
    <w:rsid w:val="54005D21"/>
    <w:rsid w:val="54F97A86"/>
    <w:rsid w:val="6F331F6A"/>
    <w:rsid w:val="77534EAC"/>
    <w:rsid w:val="7AFB0D38"/>
    <w:rsid w:val="7FDA2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12</Pages>
  <Words>4730</Words>
  <Characters>4808</Characters>
  <Lines>35</Lines>
  <Paragraphs>10</Paragraphs>
  <TotalTime>62</TotalTime>
  <ScaleCrop>false</ScaleCrop>
  <LinksUpToDate>false</LinksUpToDate>
  <CharactersWithSpaces>4942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2025-05-06T09:22:00Z</dcterms:created>
  <dc:creator>NJZY</dc:creator>
  <cp:lastModifiedBy>谁是萌豆</cp:lastModifiedBy>
  <cp:lastPrinted>2025-04-22T03:54:00Z</cp:lastPrinted>
  <dcterms:modified xsi:type="dcterms:W3CDTF">2026-05-22T03:05:29Z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BC317C48373F43B59AF47A26E95B44A1_13</vt:lpwstr>
  </property>
  <property fmtid="{D5CDD505-2E9C-101B-9397-08002B2CF9AE}" pid="4" name="KSOTemplateDocerSaveRecord">
    <vt:lpwstr>eyJoZGlkIjoiYTdjNWM5NDU0MDZlY2EzNTY2N2E2YTU4MWYyZDgxMTAiLCJ1c2VySWQiOiI0NDcyMjMxOTkifQ==</vt:lpwstr>
  </property>
</Properties>
</file>