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F8A5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包头稀土高新区管委会行政综合部</w:t>
      </w:r>
    </w:p>
    <w:p w14:paraId="1E72BF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关于印发《</w:t>
      </w:r>
      <w:r>
        <w:rPr>
          <w:rFonts w:hint="eastAsia" w:ascii="方正小标宋简体" w:hAnsi="方正小标宋简体" w:eastAsia="方正小标宋简体" w:cs="方正小标宋简体"/>
          <w:sz w:val="44"/>
          <w:szCs w:val="52"/>
          <w:lang w:val="en-US" w:eastAsia="zh-CN"/>
        </w:rPr>
        <w:t>稀土高新区全面推行证明事项告知承诺制实施方案</w:t>
      </w:r>
      <w:r>
        <w:rPr>
          <w:rFonts w:hint="eastAsia" w:ascii="方正小标宋简体" w:hAnsi="方正小标宋简体" w:eastAsia="方正小标宋简体" w:cs="方正小标宋简体"/>
          <w:color w:val="000000"/>
          <w:kern w:val="0"/>
          <w:sz w:val="44"/>
          <w:szCs w:val="44"/>
          <w:lang w:val="en-US" w:eastAsia="zh-CN"/>
        </w:rPr>
        <w:t>》的通知</w:t>
      </w:r>
    </w:p>
    <w:p w14:paraId="7735CF5D">
      <w:pPr>
        <w:keepNext w:val="0"/>
        <w:keepLines w:val="0"/>
        <w:pageBreakBefore w:val="0"/>
        <w:kinsoku/>
        <w:wordWrap/>
        <w:overflowPunct/>
        <w:topLinePunct w:val="0"/>
        <w:autoSpaceDE/>
        <w:autoSpaceDN/>
        <w:bidi w:val="0"/>
        <w:adjustRightInd/>
        <w:snapToGrid/>
        <w:spacing w:line="560" w:lineRule="exact"/>
        <w:textAlignment w:val="auto"/>
      </w:pPr>
    </w:p>
    <w:p w14:paraId="41463C85">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滨河新区，</w:t>
      </w:r>
      <w:r>
        <w:rPr>
          <w:rFonts w:hint="eastAsia" w:ascii="仿宋_GB2312" w:hAnsi="仿宋_GB2312" w:eastAsia="仿宋_GB2312" w:cs="仿宋_GB2312"/>
          <w:sz w:val="32"/>
          <w:szCs w:val="32"/>
          <w:lang w:eastAsia="zh-CN"/>
        </w:rPr>
        <w:t>区属各部门、单位，</w:t>
      </w:r>
      <w:r>
        <w:rPr>
          <w:rFonts w:hint="eastAsia" w:ascii="仿宋_GB2312" w:hAnsi="仿宋_GB2312" w:eastAsia="仿宋_GB2312" w:cs="仿宋_GB2312"/>
          <w:sz w:val="32"/>
          <w:szCs w:val="32"/>
          <w:lang w:val="en-US" w:eastAsia="zh-CN"/>
        </w:rPr>
        <w:t>各镇、街道</w:t>
      </w:r>
      <w:r>
        <w:rPr>
          <w:rFonts w:hint="eastAsia" w:ascii="仿宋_GB2312" w:hAnsi="仿宋_GB2312" w:cs="仿宋_GB2312"/>
          <w:sz w:val="32"/>
          <w:szCs w:val="32"/>
          <w:lang w:val="en-US" w:eastAsia="zh-CN"/>
        </w:rPr>
        <w:t>，各派驻机关</w:t>
      </w:r>
      <w:r>
        <w:rPr>
          <w:rFonts w:hint="eastAsia" w:ascii="仿宋_GB2312" w:hAnsi="仿宋_GB2312" w:eastAsia="仿宋_GB2312" w:cs="仿宋_GB2312"/>
          <w:sz w:val="32"/>
          <w:szCs w:val="32"/>
        </w:rPr>
        <w:t>：</w:t>
      </w:r>
    </w:p>
    <w:p w14:paraId="77D7FB0C">
      <w:pPr>
        <w:pStyle w:val="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lang w:val="en-US" w:eastAsia="zh-CN"/>
        </w:rPr>
      </w:pPr>
      <w:r>
        <w:rPr>
          <w:rFonts w:hint="eastAsia" w:ascii="仿宋_GB2312" w:hAnsi="仿宋_GB2312" w:cs="仿宋_GB2312"/>
          <w:color w:val="000000"/>
          <w:kern w:val="0"/>
          <w:sz w:val="32"/>
          <w:szCs w:val="32"/>
          <w:lang w:val="en-US" w:eastAsia="zh-CN"/>
        </w:rPr>
        <w:t>为方便企业和群众办事创业，优化办事流程，现将《包头稀土高新区全面推行证明事项告知承诺制实施方案》印发给你们，请结合实际，认真贯彻执行。</w:t>
      </w:r>
      <w:r>
        <w:rPr>
          <w:rFonts w:hint="eastAsia" w:ascii="仿宋_GB2312" w:hAnsi="仿宋_GB2312" w:eastAsia="仿宋_GB2312" w:cs="仿宋_GB2312"/>
          <w:sz w:val="32"/>
          <w:szCs w:val="32"/>
          <w:lang w:val="en-US" w:eastAsia="zh-CN"/>
        </w:rPr>
        <w:t>各部门</w:t>
      </w:r>
      <w:r>
        <w:rPr>
          <w:rFonts w:hint="eastAsia" w:ascii="仿宋_GB2312" w:hAnsi="仿宋_GB2312" w:cs="仿宋_GB2312"/>
          <w:sz w:val="32"/>
          <w:szCs w:val="32"/>
          <w:lang w:val="en-US" w:eastAsia="zh-CN"/>
        </w:rPr>
        <w:t>将</w:t>
      </w:r>
      <w:r>
        <w:rPr>
          <w:rFonts w:hint="eastAsia" w:ascii="仿宋_GB2312" w:hAnsi="仿宋_GB2312" w:eastAsia="仿宋_GB2312" w:cs="仿宋_GB2312"/>
          <w:sz w:val="32"/>
          <w:szCs w:val="32"/>
          <w:lang w:val="en-US" w:eastAsia="zh-CN"/>
        </w:rPr>
        <w:t>告知承诺制工作开展情况、主要做法和工作成效、建立的制度和规范、存在的问题和建议等进行总结</w:t>
      </w:r>
      <w:r>
        <w:rPr>
          <w:rFonts w:hint="eastAsia" w:ascii="仿宋_GB2312" w:hAnsi="仿宋_GB2312" w:cs="仿宋_GB2312"/>
          <w:color w:val="000000"/>
          <w:kern w:val="0"/>
          <w:sz w:val="32"/>
          <w:szCs w:val="32"/>
          <w:lang w:val="en-US" w:eastAsia="zh-CN"/>
        </w:rPr>
        <w:t>形成书面材料</w:t>
      </w:r>
      <w:r>
        <w:rPr>
          <w:rFonts w:hint="eastAsia" w:ascii="仿宋_GB2312" w:hAnsi="仿宋_GB2312" w:cs="仿宋_GB2312"/>
          <w:sz w:val="32"/>
          <w:szCs w:val="32"/>
          <w:lang w:val="en-US" w:eastAsia="zh-CN"/>
        </w:rPr>
        <w:t>，同时提供</w:t>
      </w:r>
      <w:r>
        <w:rPr>
          <w:rFonts w:hint="eastAsia" w:ascii="仿宋_GB2312" w:hAnsi="仿宋_GB2312" w:cs="仿宋_GB2312"/>
          <w:color w:val="000000"/>
          <w:kern w:val="0"/>
          <w:sz w:val="32"/>
          <w:szCs w:val="32"/>
          <w:lang w:val="en-US" w:eastAsia="zh-CN"/>
        </w:rPr>
        <w:t>制定、印发的证明事项告知承诺制相关范本、模板等材料于9月30日前报至政务公开办。</w:t>
      </w:r>
    </w:p>
    <w:p w14:paraId="297D9A84">
      <w:pPr>
        <w:pStyle w:val="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lang w:val="en-US" w:eastAsia="zh-CN"/>
        </w:rPr>
      </w:pPr>
    </w:p>
    <w:p w14:paraId="60124D27">
      <w:pPr>
        <w:pStyle w:val="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lang w:val="en-US" w:eastAsia="zh-CN"/>
        </w:rPr>
      </w:pPr>
    </w:p>
    <w:p w14:paraId="5B2C2761">
      <w:pPr>
        <w:pStyle w:val="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lang w:val="en-US" w:eastAsia="zh-CN"/>
        </w:rPr>
      </w:pPr>
      <w:r>
        <w:rPr>
          <w:rFonts w:hint="eastAsia" w:ascii="仿宋_GB2312" w:hAnsi="仿宋_GB2312" w:cs="仿宋_GB2312"/>
          <w:lang w:val="en-US" w:eastAsia="zh-CN"/>
        </w:rPr>
        <w:t>联系人：刘妮娜      联系电话：5330067</w:t>
      </w:r>
    </w:p>
    <w:p w14:paraId="013EC948">
      <w:pPr>
        <w:pStyle w:val="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cs="仿宋_GB2312"/>
          <w:lang w:val="en-US" w:eastAsia="zh-CN"/>
        </w:rPr>
      </w:pPr>
      <w:r>
        <w:rPr>
          <w:rFonts w:hint="eastAsia" w:ascii="仿宋_GB2312" w:hAnsi="仿宋_GB2312" w:cs="仿宋_GB2312"/>
          <w:lang w:val="en-US" w:eastAsia="zh-CN"/>
        </w:rPr>
        <w:t>邮箱：xtgxqzwfw@163.com</w:t>
      </w:r>
    </w:p>
    <w:p w14:paraId="34D22644">
      <w:pPr>
        <w:pStyle w:val="7"/>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cs="仿宋_GB2312"/>
          <w:lang w:val="en-US" w:eastAsia="zh-CN"/>
        </w:rPr>
      </w:pPr>
    </w:p>
    <w:p w14:paraId="563061F6">
      <w:pPr>
        <w:pStyle w:val="7"/>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cs="仿宋_GB2312"/>
          <w:lang w:val="en-US" w:eastAsia="zh-CN"/>
        </w:rPr>
      </w:pPr>
    </w:p>
    <w:p w14:paraId="1C10177B">
      <w:pPr>
        <w:pStyle w:val="7"/>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lang w:val="en-US" w:eastAsia="zh-CN"/>
        </w:rPr>
      </w:pPr>
      <w:r>
        <w:rPr>
          <w:rFonts w:hint="eastAsia" w:ascii="仿宋_GB2312" w:hAnsi="仿宋_GB2312" w:cs="仿宋_GB2312"/>
          <w:lang w:val="en-US" w:eastAsia="zh-CN"/>
        </w:rPr>
        <w:t xml:space="preserve">                     包头</w:t>
      </w:r>
      <w:r>
        <w:rPr>
          <w:rFonts w:hint="eastAsia" w:ascii="仿宋_GB2312" w:hAnsi="仿宋_GB2312" w:eastAsia="仿宋_GB2312" w:cs="仿宋_GB2312"/>
          <w:lang w:val="en-US" w:eastAsia="zh-CN"/>
        </w:rPr>
        <w:t>稀土高新区</w:t>
      </w:r>
      <w:r>
        <w:rPr>
          <w:rFonts w:hint="eastAsia" w:ascii="仿宋_GB2312" w:hAnsi="仿宋_GB2312" w:cs="仿宋_GB2312"/>
          <w:lang w:val="en-US" w:eastAsia="zh-CN"/>
        </w:rPr>
        <w:t>管委会</w:t>
      </w:r>
      <w:r>
        <w:rPr>
          <w:rFonts w:hint="eastAsia" w:ascii="仿宋_GB2312" w:hAnsi="仿宋_GB2312" w:eastAsia="仿宋_GB2312" w:cs="仿宋_GB2312"/>
          <w:lang w:val="en-US" w:eastAsia="zh-CN"/>
        </w:rPr>
        <w:t>行政综合部</w:t>
      </w:r>
    </w:p>
    <w:p w14:paraId="7B302B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                       2021年8月10日</w:t>
      </w:r>
    </w:p>
    <w:p w14:paraId="31B0C929">
      <w:pP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br w:type="page"/>
      </w:r>
    </w:p>
    <w:p w14:paraId="4D2855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color w:val="000000"/>
          <w:kern w:val="0"/>
          <w:sz w:val="44"/>
          <w:szCs w:val="44"/>
          <w:lang w:val="en-US" w:eastAsia="zh-CN"/>
        </w:rPr>
        <w:t>包头</w:t>
      </w:r>
      <w:r>
        <w:rPr>
          <w:rFonts w:hint="eastAsia" w:ascii="方正小标宋简体" w:hAnsi="方正小标宋简体" w:eastAsia="方正小标宋简体" w:cs="方正小标宋简体"/>
          <w:sz w:val="44"/>
          <w:szCs w:val="52"/>
          <w:lang w:val="en-US" w:eastAsia="zh-CN"/>
        </w:rPr>
        <w:t>稀土高新区全面推行证明事项告知承诺制</w:t>
      </w:r>
    </w:p>
    <w:p w14:paraId="5FE9CA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实施方案</w:t>
      </w:r>
    </w:p>
    <w:p w14:paraId="1D3A37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1C49E31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根据《包头市人民政府办公室关于印发包头市全面推行证明事项告知承诺制实施方案的通知》精神，结合我区实际，制定本方案。</w:t>
      </w:r>
    </w:p>
    <w:p w14:paraId="4554A8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14:paraId="67A754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1、坚持问题导向。</w:t>
      </w:r>
      <w:r>
        <w:rPr>
          <w:rFonts w:hint="eastAsia" w:ascii="仿宋_GB2312" w:hAnsi="仿宋_GB2312" w:eastAsia="仿宋_GB2312" w:cs="仿宋_GB2312"/>
          <w:sz w:val="32"/>
          <w:szCs w:val="32"/>
          <w:lang w:val="en-US" w:eastAsia="zh-CN"/>
        </w:rPr>
        <w:t>以方便企业和群众办事创业为导向，聚焦企业和群众办事创业的“堵点”“痛点”，切实解决企业和群众办证多、办事难等问题。</w:t>
      </w:r>
    </w:p>
    <w:p w14:paraId="53A95A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2、坚持高效便民。</w:t>
      </w:r>
      <w:r>
        <w:rPr>
          <w:rFonts w:hint="eastAsia" w:ascii="仿宋_GB2312" w:hAnsi="仿宋_GB2312" w:eastAsia="仿宋_GB2312" w:cs="仿宋_GB2312"/>
          <w:sz w:val="32"/>
          <w:szCs w:val="32"/>
          <w:lang w:val="en-US" w:eastAsia="zh-CN"/>
        </w:rPr>
        <w:t>以社会普遍关注的领域和高频事项为重点，优化办事流程，完善便民服务措施，进一步提高工作的针对性、实效性，力戒形式主义、官僚主义。</w:t>
      </w:r>
    </w:p>
    <w:p w14:paraId="7389D0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3、坚持协同推进。</w:t>
      </w:r>
      <w:r>
        <w:rPr>
          <w:rFonts w:hint="eastAsia" w:ascii="仿宋_GB2312" w:hAnsi="仿宋_GB2312" w:eastAsia="仿宋_GB2312" w:cs="仿宋_GB2312"/>
          <w:sz w:val="32"/>
          <w:szCs w:val="32"/>
          <w:lang w:val="en-US" w:eastAsia="zh-CN"/>
        </w:rPr>
        <w:t>加强与政务信息资源共享、信用体系建设、“互联网+政务服务”等工作的衔接，充分发挥叠加效应，形成协同推进的体制机制。</w:t>
      </w:r>
    </w:p>
    <w:p w14:paraId="4AE2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4、坚持风险可控。</w:t>
      </w:r>
      <w:r>
        <w:rPr>
          <w:rFonts w:hint="eastAsia" w:ascii="仿宋_GB2312" w:hAnsi="仿宋_GB2312" w:eastAsia="仿宋_GB2312" w:cs="仿宋_GB2312"/>
          <w:sz w:val="32"/>
          <w:szCs w:val="32"/>
          <w:lang w:val="en-US" w:eastAsia="zh-CN"/>
        </w:rPr>
        <w:t>坚持分级分类，精准确定实行告知承诺制的事项范围，因类施策、分步推进、动态调整。落实放管结合、并重的要求，创新和加强事中事后监管，有效监督承诺履行情况，实现过程可控、风险可控，维护企业和群众合法权益。</w:t>
      </w:r>
    </w:p>
    <w:p w14:paraId="491FB1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二、适用范围和对象</w:t>
      </w:r>
    </w:p>
    <w:p w14:paraId="4551E7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（一）定义。</w:t>
      </w:r>
      <w:r>
        <w:rPr>
          <w:rFonts w:hint="eastAsia" w:ascii="仿宋_GB2312" w:hAnsi="仿宋_GB2312" w:eastAsia="仿宋_GB2312" w:cs="仿宋_GB2312"/>
          <w:sz w:val="32"/>
          <w:szCs w:val="32"/>
          <w:lang w:val="en-US" w:eastAsia="zh-CN"/>
        </w:rPr>
        <w:t>证明，是指公民、法人和其他组织（以下简称申请人）在依法向行政机关或者法律法规授权的具有管理公共事务职能的组织（以下统称行政机关）申请办理行政事项时，提供的需由行政机关或者其他机构出具、用以描述客观事实或者表明符合特定条件的材料。证明事项告知承诺制，是指申请人在向行政机关申请办理行政事项时，行政机关以书面形式（含电子文本，下同）将证明义务、证明内容以及不实承诺的法律责任一次性告知申请人，申请人书面承诺已经符合告知的相关要求并愿意承担不实承诺的法律责任，行政机关不再索要有关证明并依据书面承诺办理相关行政事项的工作机制。</w:t>
      </w:r>
    </w:p>
    <w:p w14:paraId="740468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（二）适用范围。</w:t>
      </w:r>
      <w:r>
        <w:rPr>
          <w:rFonts w:hint="eastAsia" w:ascii="仿宋_GB2312" w:hAnsi="仿宋_GB2312" w:eastAsia="仿宋_GB2312" w:cs="仿宋_GB2312"/>
          <w:sz w:val="32"/>
          <w:szCs w:val="32"/>
          <w:lang w:val="en-US" w:eastAsia="zh-CN"/>
        </w:rPr>
        <w:t>适用告知承诺制的证明事项范围按照最大限度利民便民原则，在与企业和群众生产生活密切相关、使用频次较高或者获取难度较大的证明事项中确定，特别是在户籍管理、市场主体准营、资格考试、社会保险、社会救助、健康体检、法律服务等方面推行。直接涉及国家安全、国家秘密、公共安全、金融业审慎监管、生态环境保护，直接关系人身健康、生命财产安全，以及重要涉外等风险较大、纠错成本较高、损害难以挽回的证明事项不适用告知承诺制。</w:t>
      </w:r>
    </w:p>
    <w:p w14:paraId="5E338A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（三）实施机关。</w:t>
      </w:r>
      <w:r>
        <w:rPr>
          <w:rFonts w:hint="eastAsia" w:ascii="仿宋_GB2312" w:hAnsi="仿宋_GB2312" w:eastAsia="仿宋_GB2312" w:cs="仿宋_GB2312"/>
          <w:sz w:val="32"/>
          <w:szCs w:val="32"/>
          <w:lang w:val="en-US" w:eastAsia="zh-CN"/>
        </w:rPr>
        <w:t>包括我区各部门、单位、乡镇各级行政机关或者法律法规授权的具有管理公共事务职能的组织。</w:t>
      </w:r>
    </w:p>
    <w:p w14:paraId="093639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（四）适用对象。</w:t>
      </w:r>
      <w:r>
        <w:rPr>
          <w:rFonts w:hint="eastAsia" w:ascii="仿宋_GB2312" w:hAnsi="仿宋_GB2312" w:eastAsia="仿宋_GB2312" w:cs="仿宋_GB2312"/>
          <w:sz w:val="32"/>
          <w:szCs w:val="32"/>
          <w:lang w:val="en-US" w:eastAsia="zh-CN"/>
        </w:rPr>
        <w:t>对于实行告知承诺制的证明事项，申请人可自主选择是否采用告知承诺制方式办理。申请人不愿承诺或者无法承诺的，应当提交法律法规要求的或者列入证明事项目录清单的证明。申请人有较严重的不良信用记录或者存在曾作出虚假承诺等情形的，在信用修复前不适用告知承诺制。</w:t>
      </w:r>
    </w:p>
    <w:p w14:paraId="595AF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三、主要任</w:t>
      </w:r>
      <w:r>
        <w:rPr>
          <w:rFonts w:hint="eastAsia" w:ascii="黑体" w:hAnsi="黑体" w:eastAsia="黑体" w:cs="黑体"/>
          <w:color w:val="auto"/>
          <w:sz w:val="32"/>
          <w:szCs w:val="32"/>
          <w:lang w:val="en-US" w:eastAsia="zh-CN"/>
        </w:rPr>
        <w:t>务及实施</w:t>
      </w:r>
      <w:r>
        <w:rPr>
          <w:rFonts w:hint="eastAsia" w:ascii="黑体" w:hAnsi="黑体" w:eastAsia="黑体" w:cs="黑体"/>
          <w:sz w:val="32"/>
          <w:szCs w:val="32"/>
          <w:lang w:val="en-US" w:eastAsia="zh-CN"/>
        </w:rPr>
        <w:t>步骤</w:t>
      </w:r>
    </w:p>
    <w:p w14:paraId="137EB9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（一）清理公布证明事项清单。</w:t>
      </w:r>
      <w:r>
        <w:rPr>
          <w:rFonts w:hint="eastAsia" w:ascii="仿宋_GB2312" w:hAnsi="仿宋_GB2312" w:eastAsia="仿宋_GB2312" w:cs="仿宋_GB2312"/>
          <w:sz w:val="32"/>
          <w:szCs w:val="32"/>
          <w:lang w:val="en-US" w:eastAsia="zh-CN"/>
        </w:rPr>
        <w:t>各部门要按照证明事项清理原则，全面梳理证明事项，及时公布、动态调整清单，防止证明事项边减边增、明减暗增。通过政府门户网站及时公布区本级设定的证明事项保留和取消清单并报政务公开办备案。对于地方政府规章和规范性文件设定证明事项的，有关部门要及时修改、解释或者废止；需要修改、解释或者废止地方性法规的，按法定程序提请市人大决定。对于依法保留的证明事项，要逐项列明设定依据、开具单位、办事指南等。保留清单之外一律不得索要证明。（政务公开办牵头，行政综合部（法制）及各相关部门、单位按职责分工落实）</w:t>
      </w:r>
    </w:p>
    <w:p w14:paraId="320F34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（二）确定公布实行</w:t>
      </w:r>
      <w:r>
        <w:rPr>
          <w:rFonts w:hint="default" w:ascii="楷体_GB2312" w:hAnsi="楷体_GB2312" w:eastAsia="楷体_GB2312" w:cs="楷体_GB2312"/>
          <w:b/>
          <w:bCs/>
          <w:sz w:val="32"/>
          <w:szCs w:val="32"/>
          <w:lang w:val="en-US" w:eastAsia="zh-CN"/>
        </w:rPr>
        <w:t>告知承诺制</w:t>
      </w:r>
      <w:r>
        <w:rPr>
          <w:rFonts w:hint="eastAsia" w:ascii="楷体_GB2312" w:hAnsi="楷体_GB2312" w:eastAsia="楷体_GB2312" w:cs="楷体_GB2312"/>
          <w:b/>
          <w:bCs/>
          <w:sz w:val="32"/>
          <w:szCs w:val="32"/>
          <w:lang w:val="en-US" w:eastAsia="zh-CN"/>
        </w:rPr>
        <w:t>的</w:t>
      </w:r>
      <w:r>
        <w:rPr>
          <w:rFonts w:hint="default" w:ascii="楷体_GB2312" w:hAnsi="楷体_GB2312" w:eastAsia="楷体_GB2312" w:cs="楷体_GB2312"/>
          <w:b/>
          <w:bCs/>
          <w:sz w:val="32"/>
          <w:szCs w:val="32"/>
          <w:lang w:val="en-US" w:eastAsia="zh-CN"/>
        </w:rPr>
        <w:t>证明事项</w:t>
      </w:r>
      <w:r>
        <w:rPr>
          <w:rFonts w:hint="eastAsia" w:ascii="楷体_GB2312" w:hAnsi="楷体_GB2312" w:eastAsia="楷体_GB2312" w:cs="楷体_GB2312"/>
          <w:b/>
          <w:bCs/>
          <w:sz w:val="32"/>
          <w:szCs w:val="32"/>
          <w:lang w:val="en-US" w:eastAsia="zh-CN"/>
        </w:rPr>
        <w:t>目录</w:t>
      </w:r>
      <w:r>
        <w:rPr>
          <w:rFonts w:hint="default" w:ascii="楷体_GB2312" w:hAnsi="楷体_GB2312" w:eastAsia="楷体_GB2312" w:cs="楷体_GB2312"/>
          <w:b/>
          <w:bCs/>
          <w:sz w:val="32"/>
          <w:szCs w:val="32"/>
          <w:lang w:val="en-US" w:eastAsia="zh-CN"/>
        </w:rPr>
        <w:t>。</w:t>
      </w: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行政</w:t>
      </w:r>
      <w:r>
        <w:rPr>
          <w:rFonts w:hint="default" w:ascii="仿宋_GB2312" w:hAnsi="仿宋_GB2312" w:eastAsia="仿宋_GB2312" w:cs="仿宋_GB2312"/>
          <w:sz w:val="32"/>
          <w:szCs w:val="32"/>
          <w:lang w:val="en-US" w:eastAsia="zh-CN"/>
        </w:rPr>
        <w:t>部门要根据上述要求，</w:t>
      </w:r>
      <w:r>
        <w:rPr>
          <w:rFonts w:hint="eastAsia" w:ascii="仿宋_GB2312" w:hAnsi="仿宋_GB2312" w:eastAsia="仿宋_GB2312" w:cs="仿宋_GB2312"/>
          <w:sz w:val="32"/>
          <w:szCs w:val="32"/>
          <w:lang w:val="en-US" w:eastAsia="zh-CN"/>
        </w:rPr>
        <w:t>依</w:t>
      </w:r>
      <w:r>
        <w:rPr>
          <w:rFonts w:hint="default" w:ascii="仿宋_GB2312" w:hAnsi="仿宋_GB2312" w:eastAsia="仿宋_GB2312" w:cs="仿宋_GB2312"/>
          <w:sz w:val="32"/>
          <w:szCs w:val="32"/>
          <w:lang w:val="en-US" w:eastAsia="zh-CN"/>
        </w:rPr>
        <w:t>照</w:t>
      </w:r>
      <w:r>
        <w:rPr>
          <w:rFonts w:hint="eastAsia" w:ascii="仿宋_GB2312" w:hAnsi="仿宋_GB2312" w:eastAsia="仿宋_GB2312" w:cs="仿宋_GB2312"/>
          <w:sz w:val="32"/>
          <w:szCs w:val="32"/>
          <w:lang w:val="en-US" w:eastAsia="zh-CN"/>
        </w:rPr>
        <w:t>上级部门公布施行的</w:t>
      </w:r>
      <w:r>
        <w:rPr>
          <w:rFonts w:hint="default" w:ascii="仿宋_GB2312" w:hAnsi="仿宋_GB2312" w:eastAsia="仿宋_GB2312" w:cs="仿宋_GB2312"/>
          <w:sz w:val="32"/>
          <w:szCs w:val="32"/>
          <w:lang w:val="en-US" w:eastAsia="zh-CN"/>
        </w:rPr>
        <w:t>告知承诺</w:t>
      </w:r>
      <w:r>
        <w:rPr>
          <w:rFonts w:hint="eastAsia" w:ascii="仿宋_GB2312" w:hAnsi="仿宋_GB2312" w:eastAsia="仿宋_GB2312" w:cs="仿宋_GB2312"/>
          <w:sz w:val="32"/>
          <w:szCs w:val="32"/>
          <w:lang w:val="en-US" w:eastAsia="zh-CN"/>
        </w:rPr>
        <w:t>制</w:t>
      </w:r>
      <w:r>
        <w:rPr>
          <w:rFonts w:hint="default" w:ascii="仿宋_GB2312" w:hAnsi="仿宋_GB2312" w:eastAsia="仿宋_GB2312" w:cs="仿宋_GB2312"/>
          <w:sz w:val="32"/>
          <w:szCs w:val="32"/>
          <w:lang w:val="en-US" w:eastAsia="zh-CN"/>
        </w:rPr>
        <w:t>目录，</w:t>
      </w:r>
      <w:r>
        <w:rPr>
          <w:rFonts w:hint="eastAsia" w:ascii="仿宋_GB2312" w:hAnsi="仿宋_GB2312" w:eastAsia="仿宋_GB2312" w:cs="仿宋_GB2312"/>
          <w:sz w:val="32"/>
          <w:szCs w:val="32"/>
          <w:lang w:val="en-US" w:eastAsia="zh-CN"/>
        </w:rPr>
        <w:t>对照本部门证明事项保留清单，结合工作实际，拟定本部门实行</w:t>
      </w:r>
      <w:r>
        <w:rPr>
          <w:rFonts w:hint="default" w:ascii="仿宋_GB2312" w:hAnsi="仿宋_GB2312" w:eastAsia="仿宋_GB2312" w:cs="仿宋_GB2312"/>
          <w:sz w:val="32"/>
          <w:szCs w:val="32"/>
          <w:lang w:val="en-US" w:eastAsia="zh-CN"/>
        </w:rPr>
        <w:t>告知承诺</w:t>
      </w:r>
      <w:r>
        <w:rPr>
          <w:rFonts w:hint="eastAsia" w:ascii="仿宋_GB2312" w:hAnsi="仿宋_GB2312" w:eastAsia="仿宋_GB2312" w:cs="仿宋_GB2312"/>
          <w:sz w:val="32"/>
          <w:szCs w:val="32"/>
          <w:lang w:val="en-US" w:eastAsia="zh-CN"/>
        </w:rPr>
        <w:t>制的证明事项</w:t>
      </w:r>
      <w:r>
        <w:rPr>
          <w:rFonts w:hint="default" w:ascii="仿宋_GB2312" w:hAnsi="仿宋_GB2312" w:eastAsia="仿宋_GB2312" w:cs="仿宋_GB2312"/>
          <w:sz w:val="32"/>
          <w:szCs w:val="32"/>
          <w:lang w:val="en-US" w:eastAsia="zh-CN"/>
        </w:rPr>
        <w:t>目录。</w:t>
      </w:r>
      <w:r>
        <w:rPr>
          <w:rFonts w:hint="eastAsia" w:ascii="仿宋_GB2312" w:hAnsi="仿宋_GB2312" w:eastAsia="仿宋_GB2312" w:cs="仿宋_GB2312"/>
          <w:sz w:val="32"/>
          <w:szCs w:val="32"/>
          <w:lang w:val="en-US" w:eastAsia="zh-CN"/>
        </w:rPr>
        <w:t>能实行告知承诺的全部实行，对不能实行的说明理由。由政务公开办汇总情况后统一提交行政综合部（法制）合法性审查后，报管委会常务会议集体审定，汇总编制实行告知承诺制的证明事项目录向社会公布，并不断更新完善实行告知承诺制的证明事项目录清单。证明事项告知承诺制相关范本、模板等由各相关部门自行制定并印发（详见附件3）。（政务公开办牵头，行政综合部（法制）及各相关部门、单</w:t>
      </w:r>
      <w:r>
        <w:rPr>
          <w:rFonts w:hint="eastAsia" w:ascii="仿宋_GB2312" w:hAnsi="仿宋_GB2312" w:eastAsia="仿宋_GB2312" w:cs="仿宋_GB2312"/>
          <w:sz w:val="32"/>
          <w:szCs w:val="32"/>
          <w:highlight w:val="none"/>
          <w:lang w:val="en-US" w:eastAsia="zh-CN"/>
        </w:rPr>
        <w:t>位按职责分工落实）</w:t>
      </w:r>
    </w:p>
    <w:p w14:paraId="74B9EE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lang w:val="en-US" w:eastAsia="zh-CN"/>
        </w:rPr>
        <w:t>规范告知承诺制工作流程。</w:t>
      </w:r>
      <w:r>
        <w:rPr>
          <w:rFonts w:hint="eastAsia" w:ascii="仿宋_GB2312" w:hAnsi="仿宋_GB2312" w:eastAsia="仿宋_GB2312" w:cs="仿宋_GB2312"/>
          <w:sz w:val="32"/>
          <w:szCs w:val="32"/>
          <w:lang w:val="en-US" w:eastAsia="zh-CN"/>
        </w:rPr>
        <w:t>各</w:t>
      </w:r>
      <w:r>
        <w:rPr>
          <w:rFonts w:hint="default" w:ascii="仿宋_GB2312" w:hAnsi="仿宋_GB2312" w:eastAsia="仿宋_GB2312" w:cs="仿宋_GB2312"/>
          <w:sz w:val="32"/>
          <w:szCs w:val="32"/>
          <w:lang w:val="en-US" w:eastAsia="zh-CN"/>
        </w:rPr>
        <w:t>行政机关要按照</w:t>
      </w:r>
      <w:r>
        <w:rPr>
          <w:rFonts w:hint="eastAsia" w:ascii="仿宋_GB2312" w:hAnsi="仿宋_GB2312" w:eastAsia="仿宋_GB2312" w:cs="仿宋_GB2312"/>
          <w:sz w:val="32"/>
          <w:szCs w:val="32"/>
          <w:lang w:val="en-US" w:eastAsia="zh-CN"/>
        </w:rPr>
        <w:t>申请、告知、承诺、办理、核查、监管的基本工作规程，制定本部门告知承诺制工作流程，修改完善办事指南，制作告知承诺书格式文本，通过相关服务场所、门户网站、政府网站、政务服务网和自治区一体化政务服务平台等渠道公布，方便申请人查阅、索取、下载、办理。书面告知的内容应当包括事项名称，设定依据，证明内容或者许可条件和材料要求，承诺方式，不实承诺可能承担的民事、行政、刑事责任，行政机关核查权力，承诺书是否公开，公开范围及时限等。要</w:t>
      </w:r>
      <w:r>
        <w:rPr>
          <w:rFonts w:hint="default" w:ascii="仿宋_GB2312" w:hAnsi="仿宋_GB2312" w:eastAsia="仿宋_GB2312" w:cs="仿宋_GB2312"/>
          <w:sz w:val="32"/>
          <w:szCs w:val="32"/>
          <w:lang w:val="en-US" w:eastAsia="zh-CN"/>
        </w:rPr>
        <w:t>坚持实事求是，相关要求要可量化、易操作，不含</w:t>
      </w:r>
      <w:r>
        <w:rPr>
          <w:rFonts w:hint="eastAsia" w:ascii="仿宋_GB2312" w:hAnsi="仿宋_GB2312" w:eastAsia="仿宋_GB2312" w:cs="仿宋_GB2312"/>
          <w:sz w:val="32"/>
          <w:szCs w:val="32"/>
          <w:lang w:val="en-US" w:eastAsia="zh-CN"/>
        </w:rPr>
        <w:t>模糊</w:t>
      </w:r>
      <w:r>
        <w:rPr>
          <w:rFonts w:hint="default" w:ascii="仿宋_GB2312" w:hAnsi="仿宋_GB2312" w:eastAsia="仿宋_GB2312" w:cs="仿宋_GB2312"/>
          <w:sz w:val="32"/>
          <w:szCs w:val="32"/>
          <w:lang w:val="en-US" w:eastAsia="zh-CN"/>
        </w:rPr>
        <w:t>表述或兜底条款。书面承诺的内容应当包括申请人已知晓告知事项、已符合相关条件、愿意承担不实承诺的法律责任以及承诺的意思表示</w:t>
      </w:r>
      <w:r>
        <w:rPr>
          <w:rFonts w:hint="default" w:ascii="仿宋_GB2312" w:hAnsi="仿宋_GB2312" w:eastAsia="仿宋_GB2312" w:cs="仿宋_GB2312"/>
          <w:sz w:val="32"/>
          <w:szCs w:val="32"/>
          <w:highlight w:val="none"/>
          <w:lang w:val="en-US" w:eastAsia="zh-CN"/>
        </w:rPr>
        <w:t>真实等</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（各相关部门、单位按职责分工落实）</w:t>
      </w:r>
    </w:p>
    <w:p w14:paraId="5D425E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（四）正式实行及持续改进。</w:t>
      </w:r>
      <w:r>
        <w:rPr>
          <w:rFonts w:hint="eastAsia" w:ascii="仿宋_GB2312" w:hAnsi="仿宋_GB2312" w:eastAsia="仿宋_GB2312" w:cs="仿宋_GB2312"/>
          <w:sz w:val="32"/>
          <w:szCs w:val="32"/>
          <w:lang w:val="en-US" w:eastAsia="zh-CN"/>
        </w:rPr>
        <w:t>按照公布的实行告知承诺制的证明事项范围、办事指南等正式推行告知承诺制，并加强跟踪分析和评估。各行政机关对已经通过信息共享取得并可即时查验的证明事项，可自主公告决定不再索要有关证明材料和承诺书，并报送政务公开办备案，以查验结果替代证明材料。根据部门信息共享和行政协助机制完善程度以及事中事后监管能力水平，适时扩大证明事项告知承诺制适用范围，并进一步推动彻底取消证明事项，打造“无证件（证明）办事之城”。各部门要对告知承诺制工作开展情况、主要做法和工作成效、建立的制度和规范、存在的问题和建议等及时进行总结。于2021年9月30日前形成书面材料报政务公开办，政务公开办统一汇总后由行政综合部审核把关并上报市司法局。政务公开办需于11月前将全套材料和各部门报送书面材料统一报行政综合部（法制）备案，行政综合部（法制）提供相关督查通报文件副本，作为我区法制建设工作年终考核依据。</w:t>
      </w:r>
    </w:p>
    <w:p w14:paraId="2A3B1C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部门要明确方向，按步骤扎实稳妥的推行证明事项告知承诺制，加快推进“放管服”改革，降低制度性交易成本，减轻企业和群众负担，激发市场主体发展活力。政务公开办、行政综合部（法制）要加强对全区全面推行证明事项告知承诺制的指导协调和监督检查，及时研究工作中发现的新情况、新问题，定期交流、通报工作进展情况，推动工作顺利有效开展。（政务公开办、行政综合部（法制）牵头，各相关部</w:t>
      </w:r>
      <w:r>
        <w:rPr>
          <w:rFonts w:hint="eastAsia" w:ascii="仿宋_GB2312" w:hAnsi="仿宋_GB2312" w:eastAsia="仿宋_GB2312" w:cs="仿宋_GB2312"/>
          <w:sz w:val="32"/>
          <w:szCs w:val="32"/>
          <w:highlight w:val="none"/>
          <w:lang w:val="en-US" w:eastAsia="zh-CN"/>
        </w:rPr>
        <w:t>门、单位按职责分工落实）</w:t>
      </w:r>
    </w:p>
    <w:p w14:paraId="207E2F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四、加强监管</w:t>
      </w:r>
    </w:p>
    <w:p w14:paraId="54425F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（一）建立</w:t>
      </w:r>
      <w:r>
        <w:rPr>
          <w:rFonts w:hint="default" w:ascii="楷体_GB2312" w:hAnsi="楷体_GB2312" w:eastAsia="楷体_GB2312" w:cs="楷体_GB2312"/>
          <w:b/>
          <w:bCs/>
          <w:sz w:val="32"/>
          <w:szCs w:val="32"/>
          <w:lang w:val="en-US" w:eastAsia="zh-CN"/>
        </w:rPr>
        <w:t>事中事后核查</w:t>
      </w:r>
      <w:r>
        <w:rPr>
          <w:rFonts w:hint="eastAsia" w:ascii="楷体_GB2312" w:hAnsi="楷体_GB2312" w:eastAsia="楷体_GB2312" w:cs="楷体_GB2312"/>
          <w:b/>
          <w:bCs/>
          <w:sz w:val="32"/>
          <w:szCs w:val="32"/>
          <w:lang w:val="en-US" w:eastAsia="zh-CN"/>
        </w:rPr>
        <w:t>机制</w:t>
      </w:r>
      <w:r>
        <w:rPr>
          <w:rFonts w:hint="default" w:ascii="楷体_GB2312" w:hAnsi="楷体_GB2312" w:eastAsia="楷体_GB2312" w:cs="楷体_GB2312"/>
          <w:b/>
          <w:bCs/>
          <w:sz w:val="32"/>
          <w:szCs w:val="32"/>
          <w:lang w:val="en-US" w:eastAsia="zh-CN"/>
        </w:rPr>
        <w:t>。</w:t>
      </w:r>
      <w:r>
        <w:rPr>
          <w:rFonts w:hint="default" w:ascii="仿宋_GB2312" w:hAnsi="仿宋_GB2312" w:eastAsia="仿宋_GB2312" w:cs="仿宋_GB2312"/>
          <w:sz w:val="32"/>
          <w:szCs w:val="32"/>
          <w:lang w:val="en-US" w:eastAsia="zh-CN"/>
        </w:rPr>
        <w:t>针对事项特点等分类确定核查办法，将承诺人的信用状况作为确定核办法的重要因素，明确核查时间、标准、方式以及是否免予核查。对免予核查的事项，行政机关</w:t>
      </w:r>
      <w:r>
        <w:rPr>
          <w:rFonts w:hint="eastAsia" w:ascii="仿宋_GB2312" w:hAnsi="仿宋_GB2312" w:eastAsia="仿宋_GB2312" w:cs="仿宋_GB2312"/>
          <w:sz w:val="32"/>
          <w:szCs w:val="32"/>
          <w:lang w:val="en-US" w:eastAsia="zh-CN"/>
        </w:rPr>
        <w:t>或行业主管部门</w:t>
      </w:r>
      <w:r>
        <w:rPr>
          <w:rFonts w:hint="default" w:ascii="仿宋_GB2312" w:hAnsi="仿宋_GB2312" w:eastAsia="仿宋_GB2312" w:cs="仿宋_GB2312"/>
          <w:sz w:val="32"/>
          <w:szCs w:val="32"/>
          <w:lang w:val="en-US" w:eastAsia="zh-CN"/>
        </w:rPr>
        <w:t>要综合运用“双随机、一公开”监管、重点监管、“互联网+监管”、智慧监管等方式实施日常监管，不得对通过告知承诺制方式办理的企业和群众</w:t>
      </w:r>
      <w:r>
        <w:rPr>
          <w:rFonts w:hint="eastAsia" w:ascii="仿宋_GB2312" w:hAnsi="仿宋_GB2312" w:eastAsia="仿宋_GB2312" w:cs="仿宋_GB2312"/>
          <w:sz w:val="32"/>
          <w:szCs w:val="32"/>
          <w:lang w:val="en-US" w:eastAsia="zh-CN"/>
        </w:rPr>
        <w:t>采取</w:t>
      </w:r>
      <w:r>
        <w:rPr>
          <w:rFonts w:hint="default" w:ascii="仿宋_GB2312" w:hAnsi="仿宋_GB2312" w:eastAsia="仿宋_GB2312" w:cs="仿宋_GB2312"/>
          <w:sz w:val="32"/>
          <w:szCs w:val="32"/>
          <w:lang w:val="en-US" w:eastAsia="zh-CN"/>
        </w:rPr>
        <w:t>歧视性监管措施。对在核查或者日常监管中发现承诺不实的，行政机关要依法终止办理、</w:t>
      </w:r>
      <w:r>
        <w:rPr>
          <w:rFonts w:hint="eastAsia" w:ascii="仿宋_GB2312" w:hAnsi="仿宋_GB2312" w:eastAsia="仿宋_GB2312" w:cs="仿宋_GB2312"/>
          <w:sz w:val="32"/>
          <w:szCs w:val="32"/>
          <w:lang w:val="en-US" w:eastAsia="zh-CN"/>
        </w:rPr>
        <w:t>责令</w:t>
      </w:r>
      <w:r>
        <w:rPr>
          <w:rFonts w:hint="default" w:ascii="仿宋_GB2312" w:hAnsi="仿宋_GB2312" w:eastAsia="仿宋_GB2312" w:cs="仿宋_GB2312"/>
          <w:sz w:val="32"/>
          <w:szCs w:val="32"/>
          <w:lang w:val="en-US" w:eastAsia="zh-CN"/>
        </w:rPr>
        <w:t>限期整改、撤销行政决定或者</w:t>
      </w:r>
      <w:r>
        <w:rPr>
          <w:rFonts w:hint="eastAsia" w:ascii="仿宋_GB2312" w:hAnsi="仿宋_GB2312" w:eastAsia="仿宋_GB2312" w:cs="仿宋_GB2312"/>
          <w:sz w:val="32"/>
          <w:szCs w:val="32"/>
          <w:lang w:val="en-US" w:eastAsia="zh-CN"/>
        </w:rPr>
        <w:t>予以</w:t>
      </w:r>
      <w:r>
        <w:rPr>
          <w:rFonts w:hint="default" w:ascii="仿宋_GB2312" w:hAnsi="仿宋_GB2312" w:eastAsia="仿宋_GB2312" w:cs="仿宋_GB2312"/>
          <w:sz w:val="32"/>
          <w:szCs w:val="32"/>
          <w:lang w:val="en-US" w:eastAsia="zh-CN"/>
        </w:rPr>
        <w:t>行政处罚，并纳入信用记录。涉嫌犯罪的，依法移送司法机关。</w:t>
      </w:r>
    </w:p>
    <w:p w14:paraId="610CD6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扎实推进政务信息共享工作，依托包头市政务信息资源共享交换平台实现跨地区、跨部门、跨层级数据共享和业务协同，建立告知承诺制在线核查支撑体系。行政机关要利用政务信息共享平台、政务服务移动客户端、区块链技术等收集、对比相关数据，实施在线核验，也可以通过检查、勘验等方式开展现场核查。确需进行现场核查的，通过行业监管平台或依托“互联网+监管”平台和应用程序等，将承诺情况及时</w:t>
      </w:r>
      <w:r>
        <w:rPr>
          <w:rFonts w:hint="default" w:ascii="仿宋_GB2312" w:hAnsi="仿宋_GB2312" w:eastAsia="仿宋_GB2312" w:cs="仿宋_GB2312"/>
          <w:sz w:val="32"/>
          <w:szCs w:val="32"/>
          <w:lang w:val="en-US" w:eastAsia="zh-CN"/>
        </w:rPr>
        <w:t>准确推送给有关监管人员，为一线监管执法提供信息支撑，同时要优化工作程序、加强业务协同，</w:t>
      </w:r>
      <w:r>
        <w:rPr>
          <w:rFonts w:hint="eastAsia" w:ascii="仿宋_GB2312" w:hAnsi="仿宋_GB2312" w:eastAsia="仿宋_GB2312" w:cs="仿宋_GB2312"/>
          <w:sz w:val="32"/>
          <w:szCs w:val="32"/>
          <w:lang w:val="en-US" w:eastAsia="zh-CN"/>
        </w:rPr>
        <w:t>避免</w:t>
      </w:r>
      <w:r>
        <w:rPr>
          <w:rFonts w:hint="default" w:ascii="仿宋_GB2312" w:hAnsi="仿宋_GB2312" w:eastAsia="仿宋_GB2312" w:cs="仿宋_GB2312"/>
          <w:sz w:val="32"/>
          <w:szCs w:val="32"/>
          <w:lang w:val="en-US" w:eastAsia="zh-CN"/>
        </w:rPr>
        <w:t>烦企扰民。相关数据尚未实现网络共享、难以通过上述方式核查的，可以请求其他行政机关协助核查，被请求协助的行政机关应当及时履行协助义务，不得推诿或者拒绝</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确有原因不能提供协助的，应当书面告知请求协助的行政机关并说明理由。</w:t>
      </w:r>
      <w:r>
        <w:rPr>
          <w:rFonts w:hint="eastAsia" w:ascii="仿宋_GB2312" w:hAnsi="仿宋_GB2312" w:eastAsia="仿宋_GB2312" w:cs="仿宋_GB2312"/>
          <w:sz w:val="32"/>
          <w:szCs w:val="32"/>
          <w:lang w:val="en-US" w:eastAsia="zh-CN"/>
        </w:rPr>
        <w:t>（政务公开办、经信委、食药工商局等各部门、单位按职责分工落实）</w:t>
      </w:r>
    </w:p>
    <w:p w14:paraId="564925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w:t>
      </w:r>
      <w:r>
        <w:rPr>
          <w:rFonts w:hint="default" w:ascii="楷体_GB2312" w:hAnsi="楷体_GB2312" w:eastAsia="楷体_GB2312" w:cs="楷体_GB2312"/>
          <w:b/>
          <w:bCs/>
          <w:sz w:val="32"/>
          <w:szCs w:val="32"/>
          <w:lang w:val="en-US" w:eastAsia="zh-CN"/>
        </w:rPr>
        <w:t>加强信用监管。</w:t>
      </w:r>
      <w:r>
        <w:rPr>
          <w:rFonts w:hint="default" w:ascii="仿宋_GB2312" w:hAnsi="仿宋_GB2312" w:eastAsia="仿宋_GB2312" w:cs="仿宋_GB2312"/>
          <w:sz w:val="32"/>
          <w:szCs w:val="32"/>
          <w:lang w:val="en-US" w:eastAsia="zh-CN"/>
        </w:rPr>
        <w:t>加强告知承诺信用管理制度建设，依法科学界定告知承诺失信行为。建立告知承诺信用信息记录、归集、推送工作机制，将承诺人履行承诺情况全面纳入信用记录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依托信用</w:t>
      </w:r>
      <w:r>
        <w:rPr>
          <w:rFonts w:hint="eastAsia" w:ascii="仿宋_GB2312" w:hAnsi="仿宋_GB2312" w:eastAsia="仿宋_GB2312" w:cs="仿宋_GB2312"/>
          <w:sz w:val="32"/>
          <w:szCs w:val="32"/>
          <w:lang w:val="en-US" w:eastAsia="zh-CN"/>
        </w:rPr>
        <w:t>信息</w:t>
      </w:r>
      <w:r>
        <w:rPr>
          <w:rFonts w:hint="default" w:ascii="仿宋_GB2312" w:hAnsi="仿宋_GB2312" w:eastAsia="仿宋_GB2312" w:cs="仿宋_GB2312"/>
          <w:sz w:val="32"/>
          <w:szCs w:val="32"/>
          <w:lang w:val="en-US" w:eastAsia="zh-CN"/>
        </w:rPr>
        <w:t>共享平台和行业信用信息系统，加强信用信息互联互通和共享。按照信用状况，实施分类精准监管。探索建立信用修复、异议处理机制。</w:t>
      </w:r>
      <w:r>
        <w:rPr>
          <w:rFonts w:hint="eastAsia" w:ascii="仿宋_GB2312" w:hAnsi="仿宋_GB2312" w:eastAsia="仿宋_GB2312" w:cs="仿宋_GB2312"/>
          <w:sz w:val="32"/>
          <w:szCs w:val="32"/>
          <w:lang w:val="en-US" w:eastAsia="zh-CN"/>
        </w:rPr>
        <w:t>依法</w:t>
      </w:r>
      <w:r>
        <w:rPr>
          <w:rFonts w:hint="default" w:ascii="仿宋_GB2312" w:hAnsi="仿宋_GB2312" w:eastAsia="仿宋_GB2312" w:cs="仿宋_GB2312"/>
          <w:sz w:val="32"/>
          <w:szCs w:val="32"/>
          <w:lang w:val="en-US" w:eastAsia="zh-CN"/>
        </w:rPr>
        <w:t>加大失信惩戒力度，根据虚假承诺造成的社会影响进行失信程度分级，区分不同失信情形实施相应惩戒措施。要根据有关法律规定，做好有关个人信息和商业秘密保护</w:t>
      </w:r>
      <w:r>
        <w:rPr>
          <w:rFonts w:hint="eastAsia" w:ascii="仿宋_GB2312" w:hAnsi="仿宋_GB2312" w:eastAsia="仿宋_GB2312" w:cs="仿宋_GB2312"/>
          <w:sz w:val="32"/>
          <w:szCs w:val="32"/>
          <w:lang w:val="en-US" w:eastAsia="zh-CN"/>
        </w:rPr>
        <w:t>。（经济发展局、经信委、食药工商局牵头，各部门、单位按职责分工落实）</w:t>
      </w:r>
    </w:p>
    <w:p w14:paraId="3D0E5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lang w:val="en-US" w:eastAsia="zh-CN"/>
        </w:rPr>
        <w:t>强化风险防范</w:t>
      </w:r>
      <w:r>
        <w:rPr>
          <w:rFonts w:hint="eastAsia" w:ascii="楷体_GB2312" w:hAnsi="楷体_GB2312" w:eastAsia="楷体_GB2312" w:cs="楷体_GB2312"/>
          <w:b/>
          <w:bCs/>
          <w:sz w:val="32"/>
          <w:szCs w:val="32"/>
          <w:lang w:val="en-US" w:eastAsia="zh-CN"/>
        </w:rPr>
        <w:t>指导</w:t>
      </w:r>
      <w:r>
        <w:rPr>
          <w:rFonts w:hint="default" w:ascii="楷体_GB2312" w:hAnsi="楷体_GB2312" w:eastAsia="楷体_GB2312" w:cs="楷体_GB2312"/>
          <w:b/>
          <w:bCs/>
          <w:sz w:val="32"/>
          <w:szCs w:val="32"/>
          <w:lang w:val="en-US" w:eastAsia="zh-CN"/>
        </w:rPr>
        <w:t>。</w:t>
      </w:r>
      <w:r>
        <w:rPr>
          <w:rFonts w:hint="eastAsia" w:ascii="仿宋_GB2312" w:hAnsi="仿宋_GB2312" w:eastAsia="仿宋_GB2312" w:cs="仿宋_GB2312"/>
          <w:sz w:val="32"/>
          <w:szCs w:val="32"/>
          <w:lang w:val="en-US" w:eastAsia="zh-CN"/>
        </w:rPr>
        <w:t>梳理</w:t>
      </w:r>
      <w:r>
        <w:rPr>
          <w:rFonts w:hint="default" w:ascii="仿宋_GB2312" w:hAnsi="仿宋_GB2312" w:eastAsia="仿宋_GB2312" w:cs="仿宋_GB2312"/>
          <w:sz w:val="32"/>
          <w:szCs w:val="32"/>
          <w:lang w:val="en-US" w:eastAsia="zh-CN"/>
        </w:rPr>
        <w:t>工作环节风险点，制定防控措施，切实提高风险防范能力。加强行政指导，强化告知和指导义务。建立承诺退出机制，在行政事项办结前，</w:t>
      </w:r>
      <w:r>
        <w:rPr>
          <w:rFonts w:hint="eastAsia" w:ascii="仿宋_GB2312" w:hAnsi="仿宋_GB2312" w:eastAsia="仿宋_GB2312" w:cs="仿宋_GB2312"/>
          <w:sz w:val="32"/>
          <w:szCs w:val="32"/>
          <w:lang w:val="en-US" w:eastAsia="zh-CN"/>
        </w:rPr>
        <w:t>申请</w:t>
      </w:r>
      <w:r>
        <w:rPr>
          <w:rFonts w:hint="default" w:ascii="仿宋_GB2312" w:hAnsi="仿宋_GB2312" w:eastAsia="仿宋_GB2312" w:cs="仿宋_GB2312"/>
          <w:sz w:val="32"/>
          <w:szCs w:val="32"/>
          <w:lang w:val="en-US" w:eastAsia="zh-CN"/>
        </w:rPr>
        <w:t>人有合理理由的，可以撤回</w:t>
      </w:r>
      <w:r>
        <w:rPr>
          <w:rFonts w:hint="eastAsia" w:ascii="仿宋_GB2312" w:hAnsi="仿宋_GB2312" w:eastAsia="仿宋_GB2312" w:cs="仿宋_GB2312"/>
          <w:sz w:val="32"/>
          <w:szCs w:val="32"/>
          <w:lang w:val="en-US" w:eastAsia="zh-CN"/>
        </w:rPr>
        <w:t>承诺</w:t>
      </w:r>
      <w:r>
        <w:rPr>
          <w:rFonts w:hint="default" w:ascii="仿宋_GB2312" w:hAnsi="仿宋_GB2312" w:eastAsia="仿宋_GB2312" w:cs="仿宋_GB2312"/>
          <w:sz w:val="32"/>
          <w:szCs w:val="32"/>
          <w:lang w:val="en-US" w:eastAsia="zh-CN"/>
        </w:rPr>
        <w:t>申请，撤回后应当按原程序办理。对涉及社会公共利益、第三人利益或者核查难度较大的证明事项，行政机关要根据政府信息公开等规定，</w:t>
      </w:r>
      <w:r>
        <w:rPr>
          <w:rFonts w:hint="eastAsia" w:ascii="仿宋_GB2312" w:hAnsi="仿宋_GB2312" w:eastAsia="仿宋_GB2312" w:cs="仿宋_GB2312"/>
          <w:sz w:val="32"/>
          <w:szCs w:val="32"/>
          <w:lang w:val="en-US" w:eastAsia="zh-CN"/>
        </w:rPr>
        <w:t>向社会公开告知承诺书，</w:t>
      </w:r>
      <w:r>
        <w:rPr>
          <w:rFonts w:hint="default" w:ascii="仿宋_GB2312" w:hAnsi="仿宋_GB2312" w:eastAsia="仿宋_GB2312" w:cs="仿宋_GB2312"/>
          <w:sz w:val="32"/>
          <w:szCs w:val="32"/>
          <w:lang w:val="en-US" w:eastAsia="zh-CN"/>
        </w:rPr>
        <w:t>接受社会监督。</w:t>
      </w:r>
      <w:r>
        <w:rPr>
          <w:rFonts w:hint="eastAsia" w:ascii="仿宋_GB2312" w:hAnsi="仿宋_GB2312" w:eastAsia="仿宋_GB2312" w:cs="仿宋_GB2312"/>
          <w:sz w:val="32"/>
          <w:szCs w:val="32"/>
          <w:lang w:val="en-US" w:eastAsia="zh-CN"/>
        </w:rPr>
        <w:t>具备条件的部门可以探索建立事前信用预警系统，对申请人进行信用评估，加强事前风险防控。对涉及经济利益价值较高、事中事后核查</w:t>
      </w:r>
      <w:r>
        <w:rPr>
          <w:rFonts w:hint="default" w:ascii="仿宋_GB2312" w:hAnsi="仿宋_GB2312" w:eastAsia="仿宋_GB2312" w:cs="仿宋_GB2312"/>
          <w:sz w:val="32"/>
          <w:szCs w:val="32"/>
          <w:lang w:val="en-US" w:eastAsia="zh-CN"/>
        </w:rPr>
        <w:t>难度较大的事项，可以探索引入责任保险制度，降低实行告知承诺制可能引发的行政</w:t>
      </w:r>
      <w:r>
        <w:rPr>
          <w:rFonts w:hint="eastAsia" w:ascii="仿宋_GB2312" w:hAnsi="仿宋_GB2312" w:eastAsia="仿宋_GB2312" w:cs="仿宋_GB2312"/>
          <w:sz w:val="32"/>
          <w:szCs w:val="32"/>
          <w:lang w:val="en-US" w:eastAsia="zh-CN"/>
        </w:rPr>
        <w:t>赔偿</w:t>
      </w:r>
      <w:r>
        <w:rPr>
          <w:rFonts w:hint="default" w:ascii="仿宋_GB2312" w:hAnsi="仿宋_GB2312" w:eastAsia="仿宋_GB2312" w:cs="仿宋_GB2312"/>
          <w:sz w:val="32"/>
          <w:szCs w:val="32"/>
          <w:lang w:val="en-US" w:eastAsia="zh-CN"/>
        </w:rPr>
        <w:t>风险</w:t>
      </w:r>
      <w:r>
        <w:rPr>
          <w:rFonts w:hint="eastAsia" w:ascii="仿宋_GB2312" w:hAnsi="仿宋_GB2312" w:eastAsia="仿宋_GB2312" w:cs="仿宋_GB2312"/>
          <w:sz w:val="32"/>
          <w:szCs w:val="32"/>
          <w:lang w:val="en-US" w:eastAsia="zh-CN"/>
        </w:rPr>
        <w:t>。（各部门、单位按职责分工落实）</w:t>
      </w:r>
    </w:p>
    <w:p w14:paraId="2553DB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五、保障措施</w:t>
      </w:r>
    </w:p>
    <w:p w14:paraId="3093C6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w:t>
      </w:r>
      <w:r>
        <w:rPr>
          <w:rFonts w:hint="default" w:ascii="楷体_GB2312" w:hAnsi="楷体_GB2312" w:eastAsia="楷体_GB2312" w:cs="楷体_GB2312"/>
          <w:b/>
          <w:bCs/>
          <w:sz w:val="32"/>
          <w:szCs w:val="32"/>
          <w:lang w:val="en-US" w:eastAsia="zh-CN"/>
        </w:rPr>
        <w:t>加强组织领导。</w:t>
      </w:r>
      <w:r>
        <w:rPr>
          <w:rFonts w:hint="eastAsia" w:ascii="仿宋_GB2312" w:hAnsi="仿宋_GB2312" w:eastAsia="仿宋_GB2312" w:cs="仿宋_GB2312"/>
          <w:sz w:val="32"/>
          <w:szCs w:val="32"/>
          <w:lang w:val="en-US" w:eastAsia="zh-CN"/>
        </w:rPr>
        <w:t>部门</w:t>
      </w:r>
      <w:r>
        <w:rPr>
          <w:rFonts w:hint="default" w:ascii="仿宋_GB2312" w:hAnsi="仿宋_GB2312" w:eastAsia="仿宋_GB2312" w:cs="仿宋_GB2312"/>
          <w:sz w:val="32"/>
          <w:szCs w:val="32"/>
          <w:lang w:val="en-US" w:eastAsia="zh-CN"/>
        </w:rPr>
        <w:t>要切实加强对</w:t>
      </w:r>
      <w:r>
        <w:rPr>
          <w:rFonts w:hint="eastAsia" w:ascii="仿宋_GB2312" w:hAnsi="仿宋_GB2312" w:eastAsia="仿宋_GB2312" w:cs="仿宋_GB2312"/>
          <w:sz w:val="32"/>
          <w:szCs w:val="32"/>
          <w:lang w:val="en-US" w:eastAsia="zh-CN"/>
        </w:rPr>
        <w:t>本</w:t>
      </w:r>
      <w:r>
        <w:rPr>
          <w:rFonts w:hint="default" w:ascii="仿宋_GB2312" w:hAnsi="仿宋_GB2312" w:eastAsia="仿宋_GB2312" w:cs="仿宋_GB2312"/>
          <w:sz w:val="32"/>
          <w:szCs w:val="32"/>
          <w:lang w:val="en-US" w:eastAsia="zh-CN"/>
        </w:rPr>
        <w:t>部门全面推行告知承诺制工作的领导，抓好组织实施</w:t>
      </w:r>
      <w:r>
        <w:rPr>
          <w:rFonts w:hint="eastAsia" w:ascii="仿宋_GB2312" w:hAnsi="仿宋_GB2312" w:eastAsia="仿宋_GB2312" w:cs="仿宋_GB2312"/>
          <w:sz w:val="32"/>
          <w:szCs w:val="32"/>
          <w:lang w:val="en-US" w:eastAsia="zh-CN"/>
        </w:rPr>
        <w:t>，各部门的主要负责同志作为本部门全面推行告知承诺制工作的第一责任人，要及时了解掌握有关工作情况，研究解决工作中的重大问题，确保工作有方案、部署有进度、推进有举措、结果有考核。管委会要建立司法行政、政务服务、信息公开、电子政务、发展改革、工信、公安、财政、税务、食药工商等单位参加的全面推行告知承诺制工作协调机制，明确牵头单位，指导协调、督促检查工作推进情况。各部门要切实做到建章立制、率先推行，加强对本系统全面推行告知承诺制工作的督促指导，及时研究解决本系统推行告知承诺制过程中遇到的问题，在本系统内适时复制推广全面推行告知承诺制的典型经验做法。</w:t>
      </w:r>
    </w:p>
    <w:p w14:paraId="284F68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w:t>
      </w:r>
      <w:r>
        <w:rPr>
          <w:rFonts w:hint="default" w:ascii="楷体_GB2312" w:hAnsi="楷体_GB2312" w:eastAsia="楷体_GB2312" w:cs="楷体_GB2312"/>
          <w:b/>
          <w:bCs/>
          <w:sz w:val="32"/>
          <w:szCs w:val="32"/>
          <w:lang w:val="en-US" w:eastAsia="zh-CN"/>
        </w:rPr>
        <w:t>开展培训宣传。</w:t>
      </w:r>
      <w:r>
        <w:rPr>
          <w:rFonts w:hint="default" w:ascii="仿宋_GB2312" w:hAnsi="仿宋_GB2312" w:eastAsia="仿宋_GB2312" w:cs="仿宋_GB2312"/>
          <w:sz w:val="32"/>
          <w:szCs w:val="32"/>
          <w:lang w:val="en-US" w:eastAsia="zh-CN"/>
        </w:rPr>
        <w:t>组织开展告知承诺制学习培训，加强业务交流。加强对全面推行告知承诺制的宣传，通过报刊、广播电视、互联网等渠道，全方位宣传全面推行告知承诺制的重要意义、主要做法、典型经验和实施效果等，发挥示范带动作用，合理引导社会预期，及时回应社会关切，为全面推行告知承诺制营造良好社会氛围。</w:t>
      </w:r>
    </w:p>
    <w:p w14:paraId="4C17B2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（三）加强督促检查。</w:t>
      </w:r>
      <w:r>
        <w:rPr>
          <w:rFonts w:hint="eastAsia" w:ascii="仿宋_GB2312" w:hAnsi="仿宋_GB2312" w:eastAsia="仿宋_GB2312" w:cs="仿宋_GB2312"/>
          <w:sz w:val="32"/>
          <w:szCs w:val="32"/>
          <w:lang w:val="en-US" w:eastAsia="zh-CN"/>
        </w:rPr>
        <w:t>要把全面推行告知承诺制推进情况纳入依法治区考评指标体系，充分调动各方面积极性、主动性。建立督查情况通报制度，对工作中违法违纪的单位及人员要依法依纪问责。按照“权责一致、尽职免责、失职追责”原则，建立健全改革容错机制，属于合理容错情形的，对相关单位及人员依法依纪免除相关责任或者减轻、从轻处理。（纪工委监察工委、政法委、行政综合部（法制）牵头，组织人社部（考核办）配合）</w:t>
      </w:r>
    </w:p>
    <w:p w14:paraId="6E2C56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p>
    <w:p w14:paraId="6AC101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p>
    <w:p w14:paraId="539935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0BB36B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958" w:leftChars="304" w:hanging="320" w:hanging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1.稀土高新区全面推行证明事项告知承诺制协调工作组</w:t>
      </w:r>
    </w:p>
    <w:p w14:paraId="58781C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2.稀土高新区证明事项告知承诺制工作规程（试行）</w:t>
      </w:r>
    </w:p>
    <w:p w14:paraId="4A02BE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3.稀土高新区证明事项告知承诺书（范本）</w:t>
      </w:r>
    </w:p>
    <w:p w14:paraId="3BDC3C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4.稀土高新区本级证明事项保留目录清单</w:t>
      </w:r>
    </w:p>
    <w:p w14:paraId="3D6767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5.稀土高新区本级证明事项取消目录清单</w:t>
      </w:r>
    </w:p>
    <w:p w14:paraId="418FBB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1701" w:right="1531" w:bottom="1701" w:left="1531"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仿宋_GB2312" w:hAnsi="仿宋_GB2312" w:eastAsia="仿宋_GB2312" w:cs="仿宋_GB2312"/>
          <w:sz w:val="32"/>
          <w:szCs w:val="32"/>
          <w:lang w:val="en-US" w:eastAsia="zh-CN"/>
        </w:rPr>
        <w:t>6.稀土高新区实行告知承诺制事项清单</w:t>
      </w:r>
    </w:p>
    <w:p w14:paraId="464C6F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kern w:val="2"/>
          <w:sz w:val="32"/>
          <w:szCs w:val="32"/>
          <w:highlight w:val="none"/>
          <w:lang w:val="en-US" w:eastAsia="zh-CN" w:bidi="ar-SA"/>
        </w:rPr>
      </w:pPr>
      <w:bookmarkStart w:id="0" w:name="_GoBack"/>
      <w:r>
        <w:rPr>
          <w:rFonts w:hint="eastAsia" w:ascii="仿宋_GB2312" w:hAnsi="仿宋_GB2312" w:eastAsia="仿宋_GB2312" w:cs="仿宋_GB2312"/>
          <w:kern w:val="2"/>
          <w:sz w:val="32"/>
          <w:szCs w:val="32"/>
          <w:highlight w:val="none"/>
          <w:lang w:val="en-US" w:eastAsia="zh-CN" w:bidi="ar-SA"/>
        </w:rPr>
        <w:t>附件1：</w:t>
      </w:r>
    </w:p>
    <w:p w14:paraId="63FD81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稀土高新区全面推行证明事项告知承诺制</w:t>
      </w:r>
    </w:p>
    <w:p w14:paraId="65113E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协调工作组</w:t>
      </w:r>
    </w:p>
    <w:p w14:paraId="202084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F0EBF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召 集 人：张云翼  党工委委员、管委会副主任</w:t>
      </w:r>
    </w:p>
    <w:p w14:paraId="3337D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副召集人：骆东升  区政务公开办主任</w:t>
      </w:r>
    </w:p>
    <w:p w14:paraId="77E1F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员：魏  杰  区行政综合部秘书科（法制科）科长</w:t>
      </w:r>
    </w:p>
    <w:p w14:paraId="3D022EB9">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煜  区组织人社部副部长</w:t>
      </w:r>
    </w:p>
    <w:p w14:paraId="68015CBC">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翼  区经济发展局副局长</w:t>
      </w:r>
    </w:p>
    <w:p w14:paraId="5D8087A1">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翟跃荣  区工信安监局副局长</w:t>
      </w:r>
    </w:p>
    <w:p w14:paraId="11CACE1E">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何水清  区财政局预算国库科长</w:t>
      </w:r>
    </w:p>
    <w:p w14:paraId="57C1FACC">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王向明  区社会事务局副局长</w:t>
      </w:r>
    </w:p>
    <w:p w14:paraId="30AEC65D">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郭瑞娟  区教育局副局长</w:t>
      </w:r>
    </w:p>
    <w:p w14:paraId="58308A2C">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刘拥军  区食药工商局副局长</w:t>
      </w:r>
    </w:p>
    <w:p w14:paraId="5E7CBA15">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刘建华  区农牧林水局副局长</w:t>
      </w:r>
    </w:p>
    <w:p w14:paraId="34AAFED0">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费向东  区公安分局党委委员、副局长</w:t>
      </w:r>
    </w:p>
    <w:p w14:paraId="3AE17B66">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赵梅蓉  国家税务总局高新区税务局副局长</w:t>
      </w:r>
    </w:p>
    <w:p w14:paraId="42A3E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1701" w:right="1531" w:bottom="1701" w:left="1531"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仿宋_GB2312" w:hAnsi="仿宋_GB2312" w:eastAsia="仿宋_GB2312" w:cs="仿宋_GB2312"/>
          <w:sz w:val="32"/>
          <w:szCs w:val="32"/>
          <w:lang w:val="en-US" w:eastAsia="zh-CN"/>
        </w:rPr>
        <w:t>协调工作组下设办公室，办公室设在政务公开办，具体负责做好证明事项告知承诺制日常协调监督工作和协调会议的召集工作，办公室主任由区政务公开办主任骆东升担任。</w:t>
      </w:r>
    </w:p>
    <w:p w14:paraId="447FB0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w:t>
      </w:r>
    </w:p>
    <w:p w14:paraId="6C05811B">
      <w:pPr>
        <w:keepNext w:val="0"/>
        <w:keepLines w:val="0"/>
        <w:pageBreakBefore w:val="0"/>
        <w:widowControl/>
        <w:kinsoku/>
        <w:wordWrap/>
        <w:overflowPunct/>
        <w:topLinePunct w:val="0"/>
        <w:autoSpaceDE/>
        <w:autoSpaceDN/>
        <w:bidi w:val="0"/>
        <w:adjustRightInd/>
        <w:snapToGrid w:val="0"/>
        <w:spacing w:line="560" w:lineRule="exact"/>
        <w:ind w:left="0"/>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稀土高新区证明事项告知承诺制</w:t>
      </w:r>
    </w:p>
    <w:p w14:paraId="6F1E64CA">
      <w:pPr>
        <w:keepNext w:val="0"/>
        <w:keepLines w:val="0"/>
        <w:pageBreakBefore w:val="0"/>
        <w:widowControl/>
        <w:kinsoku/>
        <w:wordWrap/>
        <w:overflowPunct/>
        <w:topLinePunct w:val="0"/>
        <w:autoSpaceDE/>
        <w:autoSpaceDN/>
        <w:bidi w:val="0"/>
        <w:adjustRightInd/>
        <w:snapToGrid w:val="0"/>
        <w:spacing w:line="560" w:lineRule="exact"/>
        <w:ind w:left="0"/>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工作规程（试行）</w:t>
      </w:r>
    </w:p>
    <w:p w14:paraId="3ED5C4ED">
      <w:pPr>
        <w:keepNext w:val="0"/>
        <w:keepLines w:val="0"/>
        <w:pageBreakBefore w:val="0"/>
        <w:widowControl/>
        <w:kinsoku/>
        <w:wordWrap/>
        <w:overflowPunct/>
        <w:topLinePunct w:val="0"/>
        <w:autoSpaceDE/>
        <w:autoSpaceDN/>
        <w:bidi w:val="0"/>
        <w:adjustRightInd/>
        <w:snapToGrid w:val="0"/>
        <w:spacing w:line="560" w:lineRule="exact"/>
        <w:ind w:left="0"/>
        <w:jc w:val="center"/>
        <w:textAlignment w:val="auto"/>
        <w:rPr>
          <w:rFonts w:hint="eastAsia" w:ascii="方正小标宋简体" w:hAnsi="方正小标宋简体" w:eastAsia="方正小标宋简体" w:cs="方正小标宋简体"/>
          <w:color w:val="000000"/>
          <w:kern w:val="0"/>
          <w:sz w:val="44"/>
          <w:szCs w:val="44"/>
          <w:lang w:val="en-US" w:eastAsia="zh-CN"/>
        </w:rPr>
      </w:pPr>
    </w:p>
    <w:p w14:paraId="7156658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第一条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为深入推进“放管服”改革</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创新政府服务和管理的理念方式</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方便企业和群众办事创业</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全力打造行政事项最少、政务服务最好、审批和服务速度最快的一流营商环境</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根据</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lang w:val="en-US" w:eastAsia="zh-CN"/>
        </w:rPr>
        <w:t>包头市人民政府办公室关于印发包头市全面推行</w:t>
      </w:r>
      <w:r>
        <w:rPr>
          <w:rFonts w:hint="eastAsia" w:ascii="仿宋_GB2312" w:hAnsi="仿宋_GB2312" w:eastAsia="仿宋_GB2312" w:cs="仿宋_GB2312"/>
          <w:i w:val="0"/>
          <w:iCs w:val="0"/>
          <w:color w:val="000000"/>
          <w:kern w:val="0"/>
          <w:sz w:val="32"/>
          <w:szCs w:val="32"/>
        </w:rPr>
        <w:t>证明事项告知承诺制实施方案的通知</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和我</w:t>
      </w:r>
      <w:r>
        <w:rPr>
          <w:rFonts w:hint="eastAsia" w:ascii="仿宋_GB2312" w:hAnsi="仿宋_GB2312" w:eastAsia="仿宋_GB2312" w:cs="仿宋_GB2312"/>
          <w:i w:val="0"/>
          <w:iCs w:val="0"/>
          <w:color w:val="000000"/>
          <w:kern w:val="0"/>
          <w:sz w:val="32"/>
          <w:szCs w:val="32"/>
          <w:lang w:val="en-US" w:eastAsia="zh-CN"/>
        </w:rPr>
        <w:t>区</w:t>
      </w:r>
      <w:r>
        <w:rPr>
          <w:rFonts w:hint="eastAsia" w:ascii="仿宋_GB2312" w:hAnsi="仿宋_GB2312" w:eastAsia="仿宋_GB2312" w:cs="仿宋_GB2312"/>
          <w:i w:val="0"/>
          <w:iCs w:val="0"/>
          <w:color w:val="000000"/>
          <w:kern w:val="0"/>
          <w:sz w:val="32"/>
          <w:szCs w:val="32"/>
        </w:rPr>
        <w:t>相关要求</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制定本规程</w:t>
      </w:r>
      <w:r>
        <w:rPr>
          <w:rFonts w:hint="eastAsia" w:ascii="仿宋_GB2312" w:hAnsi="仿宋_GB2312" w:eastAsia="仿宋_GB2312" w:cs="仿宋_GB2312"/>
          <w:i w:val="0"/>
          <w:iCs w:val="0"/>
          <w:color w:val="000000"/>
          <w:kern w:val="0"/>
          <w:sz w:val="32"/>
          <w:szCs w:val="32"/>
          <w:lang w:eastAsia="zh-CN"/>
        </w:rPr>
        <w:t>。</w:t>
      </w:r>
    </w:p>
    <w:p w14:paraId="470EEBC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第二条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本规程所指证明</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是指公民、法人和其他组织</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以下简称申请人</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在依法向行政机关或者法律法规授权的具有管理公共事务职能的组织</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以下统称行政机关</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申请办理</w:t>
      </w:r>
      <w:r>
        <w:rPr>
          <w:rFonts w:hint="eastAsia" w:ascii="仿宋_GB2312" w:hAnsi="仿宋_GB2312" w:eastAsia="仿宋_GB2312" w:cs="仿宋_GB2312"/>
          <w:sz w:val="32"/>
          <w:szCs w:val="32"/>
          <w:lang w:val="en-US" w:eastAsia="zh-CN"/>
        </w:rPr>
        <w:t>行政事项时</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提供的需要由行政机关或者其他机构出具、</w:t>
      </w:r>
      <w:r>
        <w:rPr>
          <w:rFonts w:hint="eastAsia" w:ascii="仿宋_GB2312" w:hAnsi="仿宋_GB2312" w:eastAsia="仿宋_GB2312" w:cs="仿宋_GB2312"/>
          <w:sz w:val="32"/>
          <w:szCs w:val="32"/>
          <w:lang w:val="en-US" w:eastAsia="zh-CN"/>
        </w:rPr>
        <w:t>用以描述客观事实或者表明符合特定条件的材料。</w:t>
      </w:r>
    </w:p>
    <w:p w14:paraId="693A9E86">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本规程所指证明事项告知承诺制</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sz w:val="32"/>
          <w:szCs w:val="32"/>
          <w:lang w:val="en-US" w:eastAsia="zh-CN"/>
        </w:rPr>
        <w:t>是指申请人在向行政机关申请办理行政事项时，行政机关以书面形式（含电子文本，下同）将证明义务、证明内容以及不实承诺的法律责任一次性告知申请人，申请人书面承诺已经符合告知的相关要求并愿意承担不实承诺的法律责任，行政机关不再索要有关证明并依据书面承诺办理相关行政事项的工作机制。</w:t>
      </w:r>
    </w:p>
    <w:p w14:paraId="4164272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第三条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sz w:val="32"/>
          <w:szCs w:val="32"/>
          <w:lang w:val="en-US" w:eastAsia="zh-CN"/>
        </w:rPr>
        <w:t>适用告知承诺制的证明事项范围按照最大限度利民便民原则，在与企业和群众生产生活密切相关、使用频次较高或者获取难度较大的证明事项中确定，特别是在户籍管理、市场主体准营、资格考试、社会保险、社会救助、健康体检、法律服务等方面推行。</w:t>
      </w:r>
    </w:p>
    <w:p w14:paraId="2FB11604">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sz w:val="32"/>
          <w:szCs w:val="32"/>
          <w:lang w:val="en-US" w:eastAsia="zh-CN"/>
        </w:rPr>
        <w:t>直接涉及国家安全、国家秘密、公共安全、金融业审慎监管、生态环境保护，直接关系人身健康、生命财产安全，以及重要涉外等风险较大、纠错成本较高、损害难以挽回的证明事项不适用告知承诺制。</w:t>
      </w:r>
    </w:p>
    <w:p w14:paraId="45525459">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第四条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sz w:val="32"/>
          <w:szCs w:val="32"/>
          <w:lang w:val="en-US" w:eastAsia="zh-CN"/>
        </w:rPr>
        <w:t>对于实行告知承诺制的证明事项，申请人可自主选择是否采用告知承诺制方式办理。申请人不愿承诺或者无法承诺的，应当提交法律法规、国务院决定要求的或者列入证明事项目录清单的证明。申请人有较严重的不良信用记录或者存在曾作出虚假承诺等情形的，在信用修复前不适用告知承诺制。</w:t>
      </w:r>
    </w:p>
    <w:p w14:paraId="21A80A8B">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第五条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实行证明事项告知承诺制的行政事项</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由行政机关制定目录向社会公布</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并通过告知承诺书</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主动向申请人告知下列内容</w:t>
      </w:r>
      <w:r>
        <w:rPr>
          <w:rFonts w:hint="eastAsia" w:ascii="仿宋_GB2312" w:hAnsi="仿宋_GB2312" w:eastAsia="仿宋_GB2312" w:cs="仿宋_GB2312"/>
          <w:i w:val="0"/>
          <w:iCs w:val="0"/>
          <w:color w:val="000000"/>
          <w:kern w:val="0"/>
          <w:sz w:val="32"/>
          <w:szCs w:val="32"/>
          <w:lang w:eastAsia="zh-CN"/>
        </w:rPr>
        <w:t>：</w:t>
      </w:r>
    </w:p>
    <w:p w14:paraId="7D376186">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证明事项的名称、用途</w:t>
      </w:r>
      <w:r>
        <w:rPr>
          <w:rFonts w:hint="eastAsia" w:ascii="仿宋_GB2312" w:hAnsi="仿宋_GB2312" w:eastAsia="仿宋_GB2312" w:cs="仿宋_GB2312"/>
          <w:i w:val="0"/>
          <w:iCs w:val="0"/>
          <w:color w:val="000000"/>
          <w:kern w:val="0"/>
          <w:sz w:val="32"/>
          <w:szCs w:val="32"/>
          <w:lang w:eastAsia="zh-CN"/>
        </w:rPr>
        <w:t>；</w:t>
      </w:r>
    </w:p>
    <w:p w14:paraId="55E0BB66">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设定证明事项依据的主要法律、法规、规章的名称和相关条款</w:t>
      </w:r>
      <w:r>
        <w:rPr>
          <w:rFonts w:hint="eastAsia" w:ascii="仿宋_GB2312" w:hAnsi="仿宋_GB2312" w:eastAsia="仿宋_GB2312" w:cs="仿宋_GB2312"/>
          <w:i w:val="0"/>
          <w:iCs w:val="0"/>
          <w:color w:val="000000"/>
          <w:kern w:val="0"/>
          <w:sz w:val="32"/>
          <w:szCs w:val="32"/>
          <w:lang w:eastAsia="zh-CN"/>
        </w:rPr>
        <w:t>；</w:t>
      </w:r>
    </w:p>
    <w:p w14:paraId="6ED8EACE">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准予办理行政事项应当具备的条件、标准和技术要求</w:t>
      </w:r>
      <w:r>
        <w:rPr>
          <w:rFonts w:hint="eastAsia" w:ascii="仿宋_GB2312" w:hAnsi="仿宋_GB2312" w:eastAsia="仿宋_GB2312" w:cs="仿宋_GB2312"/>
          <w:i w:val="0"/>
          <w:iCs w:val="0"/>
          <w:color w:val="000000"/>
          <w:kern w:val="0"/>
          <w:sz w:val="32"/>
          <w:szCs w:val="32"/>
          <w:lang w:eastAsia="zh-CN"/>
        </w:rPr>
        <w:t>；</w:t>
      </w:r>
    </w:p>
    <w:p w14:paraId="44DFF8DC">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需要申请人提交材料的名称、方式和期限</w:t>
      </w:r>
      <w:r>
        <w:rPr>
          <w:rFonts w:hint="eastAsia" w:ascii="仿宋_GB2312" w:hAnsi="仿宋_GB2312" w:eastAsia="仿宋_GB2312" w:cs="仿宋_GB2312"/>
          <w:i w:val="0"/>
          <w:iCs w:val="0"/>
          <w:color w:val="000000"/>
          <w:kern w:val="0"/>
          <w:sz w:val="32"/>
          <w:szCs w:val="32"/>
          <w:lang w:eastAsia="zh-CN"/>
        </w:rPr>
        <w:t>；</w:t>
      </w:r>
    </w:p>
    <w:p w14:paraId="12E5DB32">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申请人作出承诺的方式、法律效力</w:t>
      </w:r>
      <w:r>
        <w:rPr>
          <w:rFonts w:hint="eastAsia" w:ascii="仿宋_GB2312" w:hAnsi="仿宋_GB2312" w:eastAsia="仿宋_GB2312" w:cs="仿宋_GB2312"/>
          <w:i w:val="0"/>
          <w:iCs w:val="0"/>
          <w:color w:val="000000"/>
          <w:kern w:val="0"/>
          <w:sz w:val="32"/>
          <w:szCs w:val="32"/>
          <w:lang w:eastAsia="zh-CN"/>
        </w:rPr>
        <w:t>；</w:t>
      </w:r>
    </w:p>
    <w:p w14:paraId="020DA5EB">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申请人作出不实承诺、违反承诺的法律后果</w:t>
      </w:r>
      <w:r>
        <w:rPr>
          <w:rFonts w:hint="eastAsia" w:ascii="仿宋_GB2312" w:hAnsi="仿宋_GB2312" w:eastAsia="仿宋_GB2312" w:cs="仿宋_GB2312"/>
          <w:i w:val="0"/>
          <w:iCs w:val="0"/>
          <w:color w:val="000000"/>
          <w:kern w:val="0"/>
          <w:sz w:val="32"/>
          <w:szCs w:val="32"/>
          <w:lang w:eastAsia="zh-CN"/>
        </w:rPr>
        <w:t>；</w:t>
      </w:r>
    </w:p>
    <w:p w14:paraId="5E848FE9">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申请人应当履行接受事中事后监管的义务以及事中事后监管的具体方式、内容等</w:t>
      </w:r>
      <w:r>
        <w:rPr>
          <w:rFonts w:hint="eastAsia" w:ascii="仿宋_GB2312" w:hAnsi="仿宋_GB2312" w:eastAsia="仿宋_GB2312" w:cs="仿宋_GB2312"/>
          <w:i w:val="0"/>
          <w:iCs w:val="0"/>
          <w:color w:val="000000"/>
          <w:kern w:val="0"/>
          <w:sz w:val="32"/>
          <w:szCs w:val="32"/>
          <w:lang w:eastAsia="zh-CN"/>
        </w:rPr>
        <w:t>；</w:t>
      </w:r>
    </w:p>
    <w:p w14:paraId="1A3FF25E">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行政机关认为应当告知的其他内容</w:t>
      </w:r>
      <w:r>
        <w:rPr>
          <w:rFonts w:hint="eastAsia" w:ascii="仿宋_GB2312" w:hAnsi="仿宋_GB2312" w:eastAsia="仿宋_GB2312" w:cs="仿宋_GB2312"/>
          <w:i w:val="0"/>
          <w:iCs w:val="0"/>
          <w:color w:val="000000"/>
          <w:kern w:val="0"/>
          <w:sz w:val="32"/>
          <w:szCs w:val="32"/>
          <w:lang w:eastAsia="zh-CN"/>
        </w:rPr>
        <w:t>。</w:t>
      </w:r>
    </w:p>
    <w:p w14:paraId="1E8E9BFE">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实行证明事项告知承诺的行政事项</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由行政机关提供告知承诺书格式文本</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并及时在相关服务场所、</w:t>
      </w:r>
      <w:r>
        <w:rPr>
          <w:rFonts w:hint="eastAsia" w:ascii="仿宋_GB2312" w:hAnsi="仿宋_GB2312" w:eastAsia="仿宋_GB2312" w:cs="仿宋_GB2312"/>
          <w:i w:val="0"/>
          <w:iCs w:val="0"/>
          <w:color w:val="000000"/>
          <w:kern w:val="0"/>
          <w:sz w:val="32"/>
          <w:szCs w:val="32"/>
          <w:lang w:val="en-US" w:eastAsia="zh-CN"/>
        </w:rPr>
        <w:t>门户</w:t>
      </w:r>
      <w:r>
        <w:rPr>
          <w:rFonts w:hint="eastAsia" w:ascii="仿宋_GB2312" w:hAnsi="仿宋_GB2312" w:eastAsia="仿宋_GB2312" w:cs="仿宋_GB2312"/>
          <w:i w:val="0"/>
          <w:iCs w:val="0"/>
          <w:color w:val="000000"/>
          <w:kern w:val="0"/>
          <w:sz w:val="32"/>
          <w:szCs w:val="32"/>
        </w:rPr>
        <w:t>网站等渠道公布</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方便申请人查阅、索取、下载、办理</w:t>
      </w:r>
      <w:r>
        <w:rPr>
          <w:rFonts w:hint="eastAsia" w:ascii="仿宋_GB2312" w:hAnsi="仿宋_GB2312" w:eastAsia="仿宋_GB2312" w:cs="仿宋_GB2312"/>
          <w:i w:val="0"/>
          <w:iCs w:val="0"/>
          <w:color w:val="000000"/>
          <w:kern w:val="0"/>
          <w:sz w:val="32"/>
          <w:szCs w:val="32"/>
          <w:lang w:eastAsia="zh-CN"/>
        </w:rPr>
        <w:t>。</w:t>
      </w:r>
    </w:p>
    <w:p w14:paraId="320FEF0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第六条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申请人根据行政机关告知的内容</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愿意</w:t>
      </w:r>
      <w:r>
        <w:rPr>
          <w:rFonts w:hint="eastAsia" w:ascii="仿宋_GB2312" w:hAnsi="仿宋_GB2312" w:eastAsia="仿宋_GB2312" w:cs="仿宋_GB2312"/>
          <w:i w:val="0"/>
          <w:iCs w:val="0"/>
          <w:color w:val="000000"/>
          <w:kern w:val="0"/>
          <w:sz w:val="32"/>
          <w:szCs w:val="32"/>
          <w:lang w:eastAsia="zh-CN"/>
        </w:rPr>
        <w:t>做出</w:t>
      </w:r>
      <w:r>
        <w:rPr>
          <w:rFonts w:hint="eastAsia" w:ascii="仿宋_GB2312" w:hAnsi="仿宋_GB2312" w:eastAsia="仿宋_GB2312" w:cs="仿宋_GB2312"/>
          <w:i w:val="0"/>
          <w:iCs w:val="0"/>
          <w:color w:val="000000"/>
          <w:kern w:val="0"/>
          <w:sz w:val="32"/>
          <w:szCs w:val="32"/>
        </w:rPr>
        <w:t>承诺的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应当对以下内容作出确认和承诺</w:t>
      </w:r>
      <w:r>
        <w:rPr>
          <w:rFonts w:hint="eastAsia" w:ascii="仿宋_GB2312" w:hAnsi="仿宋_GB2312" w:eastAsia="仿宋_GB2312" w:cs="仿宋_GB2312"/>
          <w:i w:val="0"/>
          <w:iCs w:val="0"/>
          <w:color w:val="000000"/>
          <w:kern w:val="0"/>
          <w:sz w:val="32"/>
          <w:szCs w:val="32"/>
          <w:lang w:eastAsia="zh-CN"/>
        </w:rPr>
        <w:t>：</w:t>
      </w:r>
    </w:p>
    <w:p w14:paraId="6DB75979">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所填写的基本信息真实、准确</w:t>
      </w:r>
      <w:r>
        <w:rPr>
          <w:rFonts w:hint="eastAsia" w:ascii="仿宋_GB2312" w:hAnsi="仿宋_GB2312" w:eastAsia="仿宋_GB2312" w:cs="仿宋_GB2312"/>
          <w:i w:val="0"/>
          <w:iCs w:val="0"/>
          <w:color w:val="000000"/>
          <w:kern w:val="0"/>
          <w:sz w:val="32"/>
          <w:szCs w:val="32"/>
          <w:lang w:eastAsia="zh-CN"/>
        </w:rPr>
        <w:t>；</w:t>
      </w:r>
    </w:p>
    <w:p w14:paraId="1378B4DD">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已经知晓行政机关告知的全部内容</w:t>
      </w:r>
      <w:r>
        <w:rPr>
          <w:rFonts w:hint="eastAsia" w:ascii="仿宋_GB2312" w:hAnsi="仿宋_GB2312" w:eastAsia="仿宋_GB2312" w:cs="仿宋_GB2312"/>
          <w:i w:val="0"/>
          <w:iCs w:val="0"/>
          <w:color w:val="000000"/>
          <w:kern w:val="0"/>
          <w:sz w:val="32"/>
          <w:szCs w:val="32"/>
          <w:lang w:eastAsia="zh-CN"/>
        </w:rPr>
        <w:t>；</w:t>
      </w:r>
    </w:p>
    <w:p w14:paraId="0ED7E377">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确认满足行政机关告知的准予办理行政事项应当具备的条件、标准和技术要求</w:t>
      </w:r>
      <w:r>
        <w:rPr>
          <w:rFonts w:hint="eastAsia" w:ascii="仿宋_GB2312" w:hAnsi="仿宋_GB2312" w:eastAsia="仿宋_GB2312" w:cs="仿宋_GB2312"/>
          <w:i w:val="0"/>
          <w:iCs w:val="0"/>
          <w:color w:val="000000"/>
          <w:kern w:val="0"/>
          <w:sz w:val="32"/>
          <w:szCs w:val="32"/>
          <w:lang w:eastAsia="zh-CN"/>
        </w:rPr>
        <w:t>；</w:t>
      </w:r>
    </w:p>
    <w:p w14:paraId="253EFD7F">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愿意承担不实承诺、违反承诺的法律责任</w:t>
      </w:r>
      <w:r>
        <w:rPr>
          <w:rFonts w:hint="eastAsia" w:ascii="仿宋_GB2312" w:hAnsi="仿宋_GB2312" w:eastAsia="仿宋_GB2312" w:cs="仿宋_GB2312"/>
          <w:i w:val="0"/>
          <w:iCs w:val="0"/>
          <w:color w:val="000000"/>
          <w:kern w:val="0"/>
          <w:sz w:val="32"/>
          <w:szCs w:val="32"/>
          <w:lang w:eastAsia="zh-CN"/>
        </w:rPr>
        <w:t>；</w:t>
      </w:r>
    </w:p>
    <w:p w14:paraId="45A22658">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所作承诺是申请人真实意思的表示。</w:t>
      </w:r>
    </w:p>
    <w:p w14:paraId="7D9603A1">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第七条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申请人当面递交申请的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行政机关应当当场发放告知承诺书</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申请人通过信函、电传、传真、电子数据交换和电子邮件等方式提出申请的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行政机关应当在收到申请后3个工作日内</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将告知承诺书送达申请人。申请人收到告知承诺书</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愿意</w:t>
      </w:r>
      <w:r>
        <w:rPr>
          <w:rFonts w:hint="eastAsia" w:ascii="仿宋_GB2312" w:hAnsi="仿宋_GB2312" w:eastAsia="仿宋_GB2312" w:cs="仿宋_GB2312"/>
          <w:i w:val="0"/>
          <w:iCs w:val="0"/>
          <w:color w:val="000000"/>
          <w:kern w:val="0"/>
          <w:sz w:val="32"/>
          <w:szCs w:val="32"/>
          <w:lang w:eastAsia="zh-CN"/>
        </w:rPr>
        <w:t>做出</w:t>
      </w:r>
      <w:r>
        <w:rPr>
          <w:rFonts w:hint="eastAsia" w:ascii="仿宋_GB2312" w:hAnsi="仿宋_GB2312" w:eastAsia="仿宋_GB2312" w:cs="仿宋_GB2312"/>
          <w:i w:val="0"/>
          <w:iCs w:val="0"/>
          <w:color w:val="000000"/>
          <w:kern w:val="0"/>
          <w:sz w:val="32"/>
          <w:szCs w:val="32"/>
        </w:rPr>
        <w:t>承诺的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应当在被告知的期限内</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向行政机关提交申报材料和经申请人签名或盖章的告知承诺书等相关材料。告知承诺书一式两份</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由行政机关和申请人各保存一份</w:t>
      </w:r>
      <w:r>
        <w:rPr>
          <w:rFonts w:hint="eastAsia" w:ascii="仿宋_GB2312" w:hAnsi="仿宋_GB2312" w:eastAsia="仿宋_GB2312" w:cs="仿宋_GB2312"/>
          <w:i w:val="0"/>
          <w:iCs w:val="0"/>
          <w:color w:val="000000"/>
          <w:kern w:val="0"/>
          <w:sz w:val="32"/>
          <w:szCs w:val="32"/>
          <w:lang w:eastAsia="zh-CN"/>
        </w:rPr>
        <w:t>。</w:t>
      </w:r>
    </w:p>
    <w:p w14:paraId="114CC5B1">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第八条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行政机关收到申报材料和告知承诺书等相关材料后</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应当审查提交材料的完整性</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对符合告知承诺及法定审批条件的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可以当场作出审批决定</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相关行政事项办理结果按照规定程序依法送达申请人。对不符合告知承诺条件的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出具《不适用申请人承诺制告知书》</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申请人改由一般程序申办。</w:t>
      </w:r>
    </w:p>
    <w:p w14:paraId="718A5ACB">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第九条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申请人不选择告知承诺方式的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行政机关应当按照法律、法规和规章的有关规定</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按照一般程序进行行政审批</w:t>
      </w:r>
      <w:r>
        <w:rPr>
          <w:rFonts w:hint="eastAsia" w:ascii="仿宋_GB2312" w:hAnsi="仿宋_GB2312" w:eastAsia="仿宋_GB2312" w:cs="仿宋_GB2312"/>
          <w:i w:val="0"/>
          <w:iCs w:val="0"/>
          <w:color w:val="000000"/>
          <w:kern w:val="0"/>
          <w:sz w:val="32"/>
          <w:szCs w:val="32"/>
          <w:lang w:eastAsia="zh-CN"/>
        </w:rPr>
        <w:t>。</w:t>
      </w:r>
    </w:p>
    <w:p w14:paraId="52E4990F">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第十条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证明事项告知承诺信息是否共享公开应当根据合法、必要原则确定。公开个人相关信息的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必须有明确的法律、法规或者国务院决定、命令作为依据或经本人同意</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并进行必要脱敏处理</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证明事项告知承诺信息公开不得侵犯商业秘密和个人隐私</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法律、法规另有规定的从其规定。</w:t>
      </w:r>
    </w:p>
    <w:p w14:paraId="688A93F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第十一条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行政机关应当加强监管</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在</w:t>
      </w:r>
      <w:r>
        <w:rPr>
          <w:rFonts w:hint="eastAsia" w:ascii="仿宋_GB2312" w:hAnsi="仿宋_GB2312" w:eastAsia="仿宋_GB2312" w:cs="仿宋_GB2312"/>
          <w:i w:val="0"/>
          <w:iCs w:val="0"/>
          <w:color w:val="000000"/>
          <w:kern w:val="0"/>
          <w:sz w:val="32"/>
          <w:szCs w:val="32"/>
          <w:lang w:eastAsia="zh-CN"/>
        </w:rPr>
        <w:t>做出</w:t>
      </w:r>
      <w:r>
        <w:rPr>
          <w:rFonts w:hint="eastAsia" w:ascii="仿宋_GB2312" w:hAnsi="仿宋_GB2312" w:eastAsia="仿宋_GB2312" w:cs="仿宋_GB2312"/>
          <w:i w:val="0"/>
          <w:iCs w:val="0"/>
          <w:color w:val="000000"/>
          <w:kern w:val="0"/>
          <w:sz w:val="32"/>
          <w:szCs w:val="32"/>
        </w:rPr>
        <w:t>准予行政审批决定后</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及时对申请人承诺内容是否属实进行核查。行政机关可以请求其他行政机关协助核查</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被请求协助的行政机关应当及时履行协助义务</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不得推诿或者拒绝</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确有原因不能提供协助的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应当书面告知请求协助的行政机关并说明理由</w:t>
      </w:r>
      <w:r>
        <w:rPr>
          <w:rFonts w:hint="eastAsia" w:ascii="仿宋_GB2312" w:hAnsi="仿宋_GB2312" w:eastAsia="仿宋_GB2312" w:cs="仿宋_GB2312"/>
          <w:i w:val="0"/>
          <w:iCs w:val="0"/>
          <w:color w:val="000000"/>
          <w:kern w:val="0"/>
          <w:sz w:val="32"/>
          <w:szCs w:val="32"/>
          <w:lang w:eastAsia="zh-CN"/>
        </w:rPr>
        <w:t>。</w:t>
      </w:r>
    </w:p>
    <w:p w14:paraId="0272A46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第十二条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行政机关核查发现申请人实际情况与承诺内容不符的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应当责令申请人停止从事该行政事项的相关活动</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并要求其限期整改。申请人逾期拒不整改、整改后仍不符合条件的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或者失信情节严重的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由行政机关依法调整或</w:t>
      </w:r>
      <w:r>
        <w:rPr>
          <w:rFonts w:hint="eastAsia" w:ascii="仿宋_GB2312" w:hAnsi="仿宋_GB2312" w:eastAsia="仿宋_GB2312" w:cs="仿宋_GB2312"/>
          <w:i w:val="0"/>
          <w:iCs w:val="0"/>
          <w:color w:val="000000"/>
          <w:kern w:val="0"/>
          <w:sz w:val="32"/>
          <w:szCs w:val="32"/>
          <w:lang w:eastAsia="zh-CN"/>
        </w:rPr>
        <w:t>撤销</w:t>
      </w:r>
      <w:r>
        <w:rPr>
          <w:rFonts w:hint="eastAsia" w:ascii="仿宋_GB2312" w:hAnsi="仿宋_GB2312" w:eastAsia="仿宋_GB2312" w:cs="仿宋_GB2312"/>
          <w:i w:val="0"/>
          <w:iCs w:val="0"/>
          <w:color w:val="000000"/>
          <w:kern w:val="0"/>
          <w:sz w:val="32"/>
          <w:szCs w:val="32"/>
        </w:rPr>
        <w:t>审批决定。行政机关应当按照国家部委制定的“失信黑名单”认定标准</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将失信申请人纳入“失信黑名单”</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并依法依规对该申请人告知承诺事项实施限制和禁入</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不再适用告知承诺的审批方式</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同时应终止该申请人在办的其他承诺行政事项</w:t>
      </w:r>
      <w:r>
        <w:rPr>
          <w:rFonts w:hint="eastAsia" w:ascii="仿宋_GB2312" w:hAnsi="仿宋_GB2312" w:eastAsia="仿宋_GB2312" w:cs="仿宋_GB2312"/>
          <w:i w:val="0"/>
          <w:iCs w:val="0"/>
          <w:color w:val="000000"/>
          <w:kern w:val="0"/>
          <w:sz w:val="32"/>
          <w:szCs w:val="32"/>
          <w:lang w:eastAsia="zh-CN"/>
        </w:rPr>
        <w:t>。</w:t>
      </w:r>
    </w:p>
    <w:p w14:paraId="03F703D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第十三条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行政机关应按照“谁审批、谁负责”的原则建立申请人诚信档案</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及时将申请人出具的承诺书、不实承诺或违法承诺等信用承诺履约践诺情况信息数据</w:t>
      </w:r>
      <w:r>
        <w:rPr>
          <w:rFonts w:hint="eastAsia" w:ascii="仿宋_GB2312" w:hAnsi="仿宋_GB2312" w:eastAsia="仿宋_GB2312" w:cs="仿宋_GB2312"/>
          <w:i w:val="0"/>
          <w:iCs w:val="0"/>
          <w:color w:val="000000"/>
          <w:kern w:val="0"/>
          <w:sz w:val="32"/>
          <w:szCs w:val="32"/>
          <w:lang w:val="en-US" w:eastAsia="zh-CN"/>
        </w:rPr>
        <w:t>推送至信用平台，</w:t>
      </w:r>
      <w:r>
        <w:rPr>
          <w:rFonts w:hint="eastAsia" w:ascii="仿宋_GB2312" w:hAnsi="仿宋_GB2312" w:eastAsia="仿宋_GB2312" w:cs="仿宋_GB2312"/>
          <w:i w:val="0"/>
          <w:iCs w:val="0"/>
          <w:color w:val="000000"/>
          <w:kern w:val="0"/>
          <w:sz w:val="32"/>
          <w:szCs w:val="32"/>
        </w:rPr>
        <w:t>记入相关主体信用记录</w:t>
      </w:r>
      <w:r>
        <w:rPr>
          <w:rFonts w:hint="eastAsia" w:ascii="仿宋_GB2312" w:hAnsi="仿宋_GB2312" w:eastAsia="仿宋_GB2312" w:cs="仿宋_GB2312"/>
          <w:i w:val="0"/>
          <w:iCs w:val="0"/>
          <w:color w:val="000000"/>
          <w:kern w:val="0"/>
          <w:sz w:val="32"/>
          <w:szCs w:val="32"/>
          <w:lang w:eastAsia="zh-CN"/>
        </w:rPr>
        <w:t>。</w:t>
      </w:r>
    </w:p>
    <w:p w14:paraId="5CB3425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第十四条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行政机关要建立健全投诉举报处理机制</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对有关告知承诺制的投诉举报要在接到投诉之日起5个工作日内调查处理</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并将投诉举报调查处理结果告知投诉举报人。</w:t>
      </w:r>
    </w:p>
    <w:p w14:paraId="53899FF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第十五条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行政机关实施告知承诺制</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有下列情形之一的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由上级行政机关或者有关部门责令改正</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可以对直接负责的主管人员和其他直接责任人员依法给予处分</w:t>
      </w:r>
      <w:r>
        <w:rPr>
          <w:rFonts w:hint="eastAsia" w:ascii="仿宋_GB2312" w:hAnsi="仿宋_GB2312" w:eastAsia="仿宋_GB2312" w:cs="仿宋_GB2312"/>
          <w:i w:val="0"/>
          <w:iCs w:val="0"/>
          <w:color w:val="000000"/>
          <w:kern w:val="0"/>
          <w:sz w:val="32"/>
          <w:szCs w:val="32"/>
          <w:lang w:eastAsia="zh-CN"/>
        </w:rPr>
        <w:t>：</w:t>
      </w:r>
    </w:p>
    <w:p w14:paraId="704DDAFD">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申请人愿意承诺而拒绝申请人承诺的</w:t>
      </w:r>
      <w:r>
        <w:rPr>
          <w:rFonts w:hint="eastAsia" w:ascii="仿宋_GB2312" w:hAnsi="仿宋_GB2312" w:eastAsia="仿宋_GB2312" w:cs="仿宋_GB2312"/>
          <w:i w:val="0"/>
          <w:iCs w:val="0"/>
          <w:color w:val="000000"/>
          <w:kern w:val="0"/>
          <w:sz w:val="32"/>
          <w:szCs w:val="32"/>
          <w:lang w:eastAsia="zh-CN"/>
        </w:rPr>
        <w:t>；</w:t>
      </w:r>
    </w:p>
    <w:p w14:paraId="71CA9995">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对申请人履行承诺的情况</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未按照本规程规定开展监督检查的</w:t>
      </w:r>
      <w:r>
        <w:rPr>
          <w:rFonts w:hint="eastAsia" w:ascii="仿宋_GB2312" w:hAnsi="仿宋_GB2312" w:eastAsia="仿宋_GB2312" w:cs="仿宋_GB2312"/>
          <w:i w:val="0"/>
          <w:iCs w:val="0"/>
          <w:color w:val="000000"/>
          <w:kern w:val="0"/>
          <w:sz w:val="32"/>
          <w:szCs w:val="32"/>
          <w:lang w:eastAsia="zh-CN"/>
        </w:rPr>
        <w:t>；</w:t>
      </w:r>
    </w:p>
    <w:p w14:paraId="26413AAE">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对申请人不履行承诺的行为</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未及时作出处理决定的</w:t>
      </w:r>
      <w:r>
        <w:rPr>
          <w:rFonts w:hint="eastAsia" w:ascii="仿宋_GB2312" w:hAnsi="仿宋_GB2312" w:eastAsia="仿宋_GB2312" w:cs="仿宋_GB2312"/>
          <w:i w:val="0"/>
          <w:iCs w:val="0"/>
          <w:color w:val="000000"/>
          <w:kern w:val="0"/>
          <w:sz w:val="32"/>
          <w:szCs w:val="32"/>
          <w:lang w:eastAsia="zh-CN"/>
        </w:rPr>
        <w:t>；</w:t>
      </w:r>
    </w:p>
    <w:p w14:paraId="64192D10">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其他违反本办法规定的行为</w:t>
      </w:r>
      <w:r>
        <w:rPr>
          <w:rFonts w:hint="eastAsia" w:ascii="仿宋_GB2312" w:hAnsi="仿宋_GB2312" w:eastAsia="仿宋_GB2312" w:cs="仿宋_GB2312"/>
          <w:i w:val="0"/>
          <w:iCs w:val="0"/>
          <w:color w:val="000000"/>
          <w:kern w:val="0"/>
          <w:sz w:val="32"/>
          <w:szCs w:val="32"/>
          <w:lang w:eastAsia="zh-CN"/>
        </w:rPr>
        <w:t>。</w:t>
      </w:r>
    </w:p>
    <w:p w14:paraId="09EBDD84">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第十六条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行政机关负责本系统内告知承诺的具体实施和事中事后监管</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并做好承诺行政事项的信息共享、互通衔接工作。司法行政部门负责对全面推行证明事项告知承诺制的指导协调</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会同有关部门进行监督检查和跟踪评估。政务服务部门负责推进政务信息平台</w:t>
      </w:r>
      <w:r>
        <w:rPr>
          <w:rFonts w:hint="eastAsia" w:ascii="仿宋_GB2312" w:hAnsi="仿宋_GB2312" w:eastAsia="仿宋_GB2312" w:cs="仿宋_GB2312"/>
          <w:i w:val="0"/>
          <w:iCs w:val="0"/>
          <w:color w:val="000000"/>
          <w:kern w:val="0"/>
          <w:sz w:val="32"/>
          <w:szCs w:val="32"/>
          <w:lang w:val="en-US" w:eastAsia="zh-CN"/>
        </w:rPr>
        <w:t>建设</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督促各部门做好优化办事流程、完善办事指南等工作</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sz w:val="32"/>
          <w:szCs w:val="32"/>
          <w:lang w:val="en-US" w:eastAsia="zh-CN"/>
        </w:rPr>
        <w:t>经济发展局</w:t>
      </w:r>
      <w:r>
        <w:rPr>
          <w:rFonts w:hint="eastAsia" w:ascii="仿宋_GB2312" w:hAnsi="仿宋_GB2312" w:eastAsia="仿宋_GB2312" w:cs="仿宋_GB2312"/>
          <w:i w:val="0"/>
          <w:iCs w:val="0"/>
          <w:color w:val="000000"/>
          <w:kern w:val="0"/>
          <w:sz w:val="32"/>
          <w:szCs w:val="32"/>
        </w:rPr>
        <w:t>负责统筹全</w:t>
      </w:r>
      <w:r>
        <w:rPr>
          <w:rFonts w:hint="eastAsia" w:ascii="仿宋_GB2312" w:hAnsi="仿宋_GB2312" w:eastAsia="仿宋_GB2312" w:cs="仿宋_GB2312"/>
          <w:i w:val="0"/>
          <w:iCs w:val="0"/>
          <w:color w:val="000000"/>
          <w:kern w:val="0"/>
          <w:sz w:val="32"/>
          <w:szCs w:val="32"/>
          <w:lang w:val="en-US" w:eastAsia="zh-CN"/>
        </w:rPr>
        <w:t>区</w:t>
      </w:r>
      <w:r>
        <w:rPr>
          <w:rFonts w:hint="eastAsia" w:ascii="仿宋_GB2312" w:hAnsi="仿宋_GB2312" w:eastAsia="仿宋_GB2312" w:cs="仿宋_GB2312"/>
          <w:i w:val="0"/>
          <w:iCs w:val="0"/>
          <w:color w:val="000000"/>
          <w:kern w:val="0"/>
          <w:sz w:val="32"/>
          <w:szCs w:val="32"/>
        </w:rPr>
        <w:t>信用体系建设</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实现信用数据的归集</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公示、共享。</w:t>
      </w:r>
      <w:r>
        <w:rPr>
          <w:rFonts w:hint="eastAsia" w:ascii="仿宋_GB2312" w:hAnsi="仿宋_GB2312" w:eastAsia="仿宋_GB2312" w:cs="仿宋_GB2312"/>
          <w:sz w:val="32"/>
          <w:szCs w:val="32"/>
          <w:lang w:val="en-US" w:eastAsia="zh-CN"/>
        </w:rPr>
        <w:t>工信安监局、政务公开办</w:t>
      </w:r>
      <w:r>
        <w:rPr>
          <w:rFonts w:hint="eastAsia" w:ascii="仿宋_GB2312" w:hAnsi="仿宋_GB2312" w:eastAsia="仿宋_GB2312" w:cs="仿宋_GB2312"/>
          <w:i w:val="0"/>
          <w:iCs w:val="0"/>
          <w:color w:val="000000"/>
          <w:kern w:val="0"/>
          <w:sz w:val="32"/>
          <w:szCs w:val="32"/>
        </w:rPr>
        <w:t>依托政务信息资源共享交换平台</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健全数据互认共享机制</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为审批、监管和信用信息数据共享提供支撑</w:t>
      </w:r>
      <w:r>
        <w:rPr>
          <w:rFonts w:hint="eastAsia" w:ascii="仿宋_GB2312" w:hAnsi="仿宋_GB2312" w:eastAsia="仿宋_GB2312" w:cs="仿宋_GB2312"/>
          <w:i w:val="0"/>
          <w:iCs w:val="0"/>
          <w:color w:val="000000"/>
          <w:kern w:val="0"/>
          <w:sz w:val="32"/>
          <w:szCs w:val="32"/>
          <w:lang w:eastAsia="zh-CN"/>
        </w:rPr>
        <w:t>。</w:t>
      </w:r>
    </w:p>
    <w:p w14:paraId="673C48D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olor w:val="000000"/>
          <w:kern w:val="0"/>
          <w:sz w:val="32"/>
          <w:szCs w:val="32"/>
          <w:lang w:val="en-US" w:eastAsia="zh-CN"/>
        </w:rPr>
        <w:t>第十七条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本规程自印发之日起施行</w:t>
      </w:r>
      <w:r>
        <w:rPr>
          <w:rFonts w:hint="eastAsia" w:ascii="仿宋_GB2312" w:hAnsi="仿宋_GB2312" w:eastAsia="仿宋_GB2312" w:cs="仿宋_GB2312"/>
          <w:i w:val="0"/>
          <w:iCs w:val="0"/>
          <w:color w:val="000000"/>
          <w:kern w:val="0"/>
          <w:sz w:val="32"/>
          <w:szCs w:val="32"/>
          <w:lang w:eastAsia="zh-CN"/>
        </w:rPr>
        <w:t>。</w:t>
      </w:r>
    </w:p>
    <w:p w14:paraId="540B59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sectPr>
          <w:pgSz w:w="11906" w:h="16838"/>
          <w:pgMar w:top="1701" w:right="1531" w:bottom="1701" w:left="1531" w:header="851" w:footer="992" w:gutter="0"/>
          <w:pgBorders>
            <w:top w:val="none" w:sz="0" w:space="0"/>
            <w:left w:val="none" w:sz="0" w:space="0"/>
            <w:bottom w:val="none" w:sz="0" w:space="0"/>
            <w:right w:val="none" w:sz="0" w:space="0"/>
          </w:pgBorders>
          <w:cols w:space="425" w:num="1"/>
          <w:docGrid w:type="lines" w:linePitch="312" w:charSpace="0"/>
        </w:sectPr>
      </w:pPr>
    </w:p>
    <w:p w14:paraId="4C9D54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6"/>
          <w:rFonts w:hint="eastAsia" w:ascii="仿宋_GB2312" w:hAnsi="仿宋_GB2312" w:eastAsia="仿宋_GB2312" w:cs="仿宋_GB2312"/>
          <w:b w:val="0"/>
          <w:bCs/>
          <w:i w:val="0"/>
          <w:caps w:val="0"/>
          <w:color w:val="333333"/>
          <w:spacing w:val="0"/>
          <w:sz w:val="32"/>
          <w:szCs w:val="32"/>
          <w:shd w:val="clear" w:color="auto" w:fill="FFFFFF"/>
          <w:lang w:eastAsia="zh-CN"/>
        </w:rPr>
      </w:pPr>
      <w:r>
        <w:rPr>
          <w:rFonts w:hint="eastAsia" w:ascii="仿宋_GB2312" w:hAnsi="仿宋_GB2312" w:eastAsia="仿宋_GB2312" w:cs="仿宋_GB2312"/>
          <w:kern w:val="2"/>
          <w:sz w:val="32"/>
          <w:szCs w:val="32"/>
          <w:lang w:val="en-US" w:eastAsia="zh-CN" w:bidi="ar-SA"/>
        </w:rPr>
        <w:t>附件3</w:t>
      </w:r>
      <w:r>
        <w:rPr>
          <w:rStyle w:val="6"/>
          <w:rFonts w:hint="eastAsia" w:ascii="仿宋_GB2312" w:hAnsi="仿宋_GB2312" w:eastAsia="仿宋_GB2312" w:cs="仿宋_GB2312"/>
          <w:b w:val="0"/>
          <w:bCs/>
          <w:i w:val="0"/>
          <w:caps w:val="0"/>
          <w:color w:val="333333"/>
          <w:spacing w:val="0"/>
          <w:sz w:val="32"/>
          <w:szCs w:val="32"/>
          <w:shd w:val="clear" w:color="auto" w:fill="FFFFFF"/>
          <w:lang w:eastAsia="zh-CN"/>
        </w:rPr>
        <w:t>：</w:t>
      </w:r>
    </w:p>
    <w:p w14:paraId="3C53BD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sz w:val="40"/>
          <w:szCs w:val="40"/>
        </w:rPr>
      </w:pPr>
      <w:r>
        <w:rPr>
          <w:rStyle w:val="6"/>
          <w:rFonts w:hint="eastAsia" w:ascii="方正小标宋简体" w:hAnsi="方正小标宋简体" w:eastAsia="方正小标宋简体" w:cs="方正小标宋简体"/>
          <w:b w:val="0"/>
          <w:bCs/>
          <w:i w:val="0"/>
          <w:caps w:val="0"/>
          <w:color w:val="333333"/>
          <w:spacing w:val="0"/>
          <w:sz w:val="40"/>
          <w:szCs w:val="40"/>
          <w:shd w:val="clear" w:color="auto" w:fill="FFFFFF"/>
          <w:lang w:val="en-US" w:eastAsia="zh-CN"/>
        </w:rPr>
        <w:t>稀土高新区</w:t>
      </w:r>
      <w:r>
        <w:rPr>
          <w:rStyle w:val="6"/>
          <w:rFonts w:hint="eastAsia" w:ascii="方正小标宋简体" w:hAnsi="方正小标宋简体" w:eastAsia="方正小标宋简体" w:cs="方正小标宋简体"/>
          <w:b w:val="0"/>
          <w:bCs/>
          <w:i w:val="0"/>
          <w:caps w:val="0"/>
          <w:color w:val="333333"/>
          <w:spacing w:val="0"/>
          <w:sz w:val="40"/>
          <w:szCs w:val="40"/>
          <w:shd w:val="clear" w:color="auto" w:fill="FFFFFF"/>
        </w:rPr>
        <w:t>证明事项告知承诺书（范本）</w:t>
      </w:r>
    </w:p>
    <w:p w14:paraId="27751B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eastAsia" w:ascii="方正小标宋简体" w:hAnsi="方正小标宋简体" w:eastAsia="方正小标宋简体" w:cs="方正小标宋简体"/>
          <w:b w:val="0"/>
          <w:bCs/>
          <w:i w:val="0"/>
          <w:caps w:val="0"/>
          <w:color w:val="333333"/>
          <w:spacing w:val="0"/>
          <w:sz w:val="40"/>
          <w:szCs w:val="40"/>
          <w:shd w:val="clear" w:color="auto" w:fill="FFFFFF"/>
        </w:rPr>
      </w:pPr>
      <w:r>
        <w:rPr>
          <w:rStyle w:val="6"/>
          <w:rFonts w:hint="eastAsia" w:ascii="方正小标宋简体" w:hAnsi="方正小标宋简体" w:eastAsia="方正小标宋简体" w:cs="方正小标宋简体"/>
          <w:b w:val="0"/>
          <w:bCs/>
          <w:i w:val="0"/>
          <w:caps w:val="0"/>
          <w:color w:val="333333"/>
          <w:spacing w:val="0"/>
          <w:sz w:val="40"/>
          <w:szCs w:val="40"/>
          <w:shd w:val="clear" w:color="auto" w:fill="FFFFFF"/>
        </w:rPr>
        <w:t>（申请事项名称）</w:t>
      </w:r>
    </w:p>
    <w:p w14:paraId="55B7F3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333333"/>
          <w:spacing w:val="0"/>
          <w:sz w:val="32"/>
          <w:szCs w:val="32"/>
          <w:shd w:val="clear" w:color="auto" w:fill="FFFFFF"/>
        </w:rPr>
      </w:pPr>
    </w:p>
    <w:p w14:paraId="4710F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年〕第       号</w:t>
      </w:r>
    </w:p>
    <w:p w14:paraId="58FB6C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一、基本信息</w:t>
      </w:r>
    </w:p>
    <w:p w14:paraId="28ACE6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（一）申请人（自然人）</w:t>
      </w:r>
    </w:p>
    <w:p w14:paraId="0A2D33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姓    名：</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联系方式：</w:t>
      </w:r>
      <w:r>
        <w:rPr>
          <w:rFonts w:hint="eastAsia" w:ascii="仿宋_GB2312" w:hAnsi="仿宋_GB2312" w:eastAsia="仿宋_GB2312" w:cs="仿宋_GB2312"/>
          <w:kern w:val="2"/>
          <w:sz w:val="32"/>
          <w:szCs w:val="32"/>
          <w:u w:val="single"/>
          <w:lang w:val="en-US" w:eastAsia="zh-CN" w:bidi="ar-SA"/>
        </w:rPr>
        <w:t xml:space="preserve">               </w:t>
      </w:r>
    </w:p>
    <w:p w14:paraId="05BE90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single"/>
          <w:lang w:val="en-US" w:eastAsia="zh-CN" w:bidi="ar-SA"/>
        </w:rPr>
      </w:pPr>
      <w:r>
        <w:rPr>
          <w:rFonts w:hint="eastAsia" w:ascii="仿宋_GB2312" w:hAnsi="仿宋_GB2312" w:eastAsia="仿宋_GB2312" w:cs="仿宋_GB2312"/>
          <w:kern w:val="2"/>
          <w:sz w:val="32"/>
          <w:szCs w:val="32"/>
          <w:lang w:val="en-US" w:eastAsia="zh-CN" w:bidi="ar-SA"/>
        </w:rPr>
        <w:t>证件类型：</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证件编号：</w:t>
      </w:r>
      <w:r>
        <w:rPr>
          <w:rFonts w:hint="eastAsia" w:ascii="仿宋_GB2312" w:hAnsi="仿宋_GB2312" w:eastAsia="仿宋_GB2312" w:cs="仿宋_GB2312"/>
          <w:kern w:val="2"/>
          <w:sz w:val="32"/>
          <w:szCs w:val="32"/>
          <w:u w:val="single"/>
          <w:lang w:val="en-US" w:eastAsia="zh-CN" w:bidi="ar-SA"/>
        </w:rPr>
        <w:t xml:space="preserve">               </w:t>
      </w:r>
    </w:p>
    <w:p w14:paraId="514B97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（法人）</w:t>
      </w:r>
    </w:p>
    <w:p w14:paraId="7A7BF5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单位名称：</w:t>
      </w:r>
      <w:r>
        <w:rPr>
          <w:rFonts w:hint="eastAsia" w:ascii="仿宋_GB2312" w:hAnsi="仿宋_GB2312" w:eastAsia="仿宋_GB2312" w:cs="仿宋_GB2312"/>
          <w:kern w:val="2"/>
          <w:sz w:val="32"/>
          <w:szCs w:val="32"/>
          <w:u w:val="single"/>
          <w:lang w:val="en-US" w:eastAsia="zh-CN" w:bidi="ar-SA"/>
        </w:rPr>
        <w:t xml:space="preserve">                                         </w:t>
      </w:r>
    </w:p>
    <w:p w14:paraId="1284EF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证件类型：</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证    号：</w:t>
      </w:r>
      <w:r>
        <w:rPr>
          <w:rFonts w:hint="eastAsia" w:ascii="仿宋_GB2312" w:hAnsi="仿宋_GB2312" w:eastAsia="仿宋_GB2312" w:cs="仿宋_GB2312"/>
          <w:kern w:val="2"/>
          <w:sz w:val="32"/>
          <w:szCs w:val="32"/>
          <w:u w:val="single"/>
          <w:lang w:val="en-US" w:eastAsia="zh-CN" w:bidi="ar-SA"/>
        </w:rPr>
        <w:t xml:space="preserve">               </w:t>
      </w:r>
    </w:p>
    <w:p w14:paraId="6C7CD4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法定代表人（负责人）：</w:t>
      </w:r>
      <w:r>
        <w:rPr>
          <w:rFonts w:hint="eastAsia" w:ascii="仿宋_GB2312" w:hAnsi="仿宋_GB2312" w:eastAsia="仿宋_GB2312" w:cs="仿宋_GB2312"/>
          <w:kern w:val="2"/>
          <w:sz w:val="32"/>
          <w:szCs w:val="32"/>
          <w:u w:val="single"/>
          <w:lang w:val="en-US" w:eastAsia="zh-CN" w:bidi="ar-SA"/>
        </w:rPr>
        <w:t xml:space="preserve">                             </w:t>
      </w:r>
    </w:p>
    <w:p w14:paraId="1AD647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    址：</w:t>
      </w:r>
      <w:r>
        <w:rPr>
          <w:rFonts w:hint="eastAsia" w:ascii="仿宋_GB2312" w:hAnsi="仿宋_GB2312" w:eastAsia="仿宋_GB2312" w:cs="仿宋_GB2312"/>
          <w:kern w:val="2"/>
          <w:sz w:val="32"/>
          <w:szCs w:val="32"/>
          <w:u w:val="single"/>
          <w:lang w:val="en-US" w:eastAsia="zh-CN" w:bidi="ar-SA"/>
        </w:rPr>
        <w:t xml:space="preserve">                                         </w:t>
      </w:r>
    </w:p>
    <w:p w14:paraId="414D3D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single"/>
          <w:lang w:val="en-US" w:eastAsia="zh-CN" w:bidi="ar-SA"/>
        </w:rPr>
      </w:pPr>
      <w:r>
        <w:rPr>
          <w:rFonts w:hint="eastAsia" w:ascii="仿宋_GB2312" w:hAnsi="仿宋_GB2312" w:eastAsia="仿宋_GB2312" w:cs="仿宋_GB2312"/>
          <w:kern w:val="2"/>
          <w:sz w:val="32"/>
          <w:szCs w:val="32"/>
          <w:lang w:val="en-US" w:eastAsia="zh-CN" w:bidi="ar-SA"/>
        </w:rPr>
        <w:t>联系方式：</w:t>
      </w:r>
      <w:r>
        <w:rPr>
          <w:rFonts w:hint="eastAsia" w:ascii="仿宋_GB2312" w:hAnsi="仿宋_GB2312" w:eastAsia="仿宋_GB2312" w:cs="仿宋_GB2312"/>
          <w:kern w:val="2"/>
          <w:sz w:val="32"/>
          <w:szCs w:val="32"/>
          <w:u w:val="single"/>
          <w:lang w:val="en-US" w:eastAsia="zh-CN" w:bidi="ar-SA"/>
        </w:rPr>
        <w:t xml:space="preserve">                                         </w:t>
      </w:r>
    </w:p>
    <w:p w14:paraId="3F617A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（委托代理人）</w:t>
      </w:r>
    </w:p>
    <w:p w14:paraId="5B9762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姓    名：</w:t>
      </w:r>
      <w:r>
        <w:rPr>
          <w:rFonts w:hint="eastAsia" w:ascii="仿宋_GB2312" w:hAnsi="仿宋_GB2312" w:eastAsia="仿宋_GB2312" w:cs="仿宋_GB2312"/>
          <w:kern w:val="2"/>
          <w:sz w:val="32"/>
          <w:szCs w:val="32"/>
          <w:u w:val="single"/>
          <w:lang w:val="en-US" w:eastAsia="zh-CN" w:bidi="ar-SA"/>
        </w:rPr>
        <w:t xml:space="preserve">               </w:t>
      </w:r>
    </w:p>
    <w:p w14:paraId="7D20DE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single"/>
          <w:lang w:val="en-US" w:eastAsia="zh-CN" w:bidi="ar-SA"/>
        </w:rPr>
      </w:pPr>
      <w:r>
        <w:rPr>
          <w:rFonts w:hint="eastAsia" w:ascii="仿宋_GB2312" w:hAnsi="仿宋_GB2312" w:eastAsia="仿宋_GB2312" w:cs="仿宋_GB2312"/>
          <w:kern w:val="2"/>
          <w:sz w:val="32"/>
          <w:szCs w:val="32"/>
          <w:lang w:val="en-US" w:eastAsia="zh-CN" w:bidi="ar-SA"/>
        </w:rPr>
        <w:t>证件类型：</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证件编号：</w:t>
      </w:r>
      <w:r>
        <w:rPr>
          <w:rFonts w:hint="eastAsia" w:ascii="仿宋_GB2312" w:hAnsi="仿宋_GB2312" w:eastAsia="仿宋_GB2312" w:cs="仿宋_GB2312"/>
          <w:kern w:val="2"/>
          <w:sz w:val="32"/>
          <w:szCs w:val="32"/>
          <w:u w:val="single"/>
          <w:lang w:val="en-US" w:eastAsia="zh-CN" w:bidi="ar-SA"/>
        </w:rPr>
        <w:t xml:space="preserve">               </w:t>
      </w:r>
    </w:p>
    <w:p w14:paraId="659A48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single"/>
          <w:lang w:val="en-US" w:eastAsia="zh-CN" w:bidi="ar-SA"/>
        </w:rPr>
      </w:pPr>
      <w:r>
        <w:rPr>
          <w:rFonts w:hint="eastAsia" w:ascii="仿宋_GB2312" w:hAnsi="仿宋_GB2312" w:eastAsia="仿宋_GB2312" w:cs="仿宋_GB2312"/>
          <w:kern w:val="2"/>
          <w:sz w:val="32"/>
          <w:szCs w:val="32"/>
          <w:lang w:val="en-US" w:eastAsia="zh-CN" w:bidi="ar-SA"/>
        </w:rPr>
        <w:t>联系方式：</w:t>
      </w:r>
      <w:r>
        <w:rPr>
          <w:rFonts w:hint="eastAsia" w:ascii="仿宋_GB2312" w:hAnsi="仿宋_GB2312" w:eastAsia="仿宋_GB2312" w:cs="仿宋_GB2312"/>
          <w:kern w:val="2"/>
          <w:sz w:val="32"/>
          <w:szCs w:val="32"/>
          <w:u w:val="single"/>
          <w:lang w:val="en-US" w:eastAsia="zh-CN" w:bidi="ar-SA"/>
        </w:rPr>
        <w:t xml:space="preserve">                                          </w:t>
      </w:r>
    </w:p>
    <w:p w14:paraId="7622F4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（二）行政机关</w:t>
      </w:r>
    </w:p>
    <w:p w14:paraId="32C0AA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名    称：</w:t>
      </w:r>
      <w:r>
        <w:rPr>
          <w:rFonts w:hint="eastAsia" w:ascii="仿宋_GB2312" w:hAnsi="仿宋_GB2312" w:eastAsia="仿宋_GB2312" w:cs="仿宋_GB2312"/>
          <w:kern w:val="2"/>
          <w:sz w:val="32"/>
          <w:szCs w:val="32"/>
          <w:u w:val="single"/>
          <w:lang w:val="en-US" w:eastAsia="zh-CN" w:bidi="ar-SA"/>
        </w:rPr>
        <w:t xml:space="preserve">                                           </w:t>
      </w:r>
    </w:p>
    <w:p w14:paraId="3EDDBB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 系 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 xml:space="preserve">  </w:t>
      </w:r>
      <w:r>
        <w:rPr>
          <w:rFonts w:hint="eastAsia" w:ascii="仿宋_GB2312" w:hAnsi="仿宋_GB2312" w:eastAsia="仿宋_GB2312" w:cs="仿宋_GB2312"/>
          <w:kern w:val="2"/>
          <w:sz w:val="32"/>
          <w:szCs w:val="32"/>
          <w:lang w:val="en-US" w:eastAsia="zh-CN" w:bidi="ar-SA"/>
        </w:rPr>
        <w:t>联系方式：</w:t>
      </w:r>
      <w:r>
        <w:rPr>
          <w:rFonts w:hint="eastAsia" w:ascii="仿宋_GB2312" w:hAnsi="仿宋_GB2312" w:eastAsia="仿宋_GB2312" w:cs="仿宋_GB2312"/>
          <w:kern w:val="2"/>
          <w:sz w:val="32"/>
          <w:szCs w:val="32"/>
          <w:u w:val="single"/>
          <w:lang w:val="en-US" w:eastAsia="zh-CN" w:bidi="ar-SA"/>
        </w:rPr>
        <w:t xml:space="preserve">              </w:t>
      </w:r>
    </w:p>
    <w:p w14:paraId="16CCA2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二、行政机关告知</w:t>
      </w:r>
    </w:p>
    <w:p w14:paraId="1A9347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（一）证明事项名称</w:t>
      </w:r>
    </w:p>
    <w:p w14:paraId="5C5906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p w14:paraId="295ACA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（二）证明用途</w:t>
      </w:r>
    </w:p>
    <w:p w14:paraId="642647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p w14:paraId="07B223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（三）设定证明的依据（</w:t>
      </w:r>
      <w:r>
        <w:rPr>
          <w:rFonts w:hint="eastAsia" w:ascii="仿宋_GB2312" w:hAnsi="仿宋_GB2312" w:eastAsia="仿宋_GB2312" w:cs="仿宋_GB2312"/>
          <w:i w:val="0"/>
          <w:iCs w:val="0"/>
          <w:color w:val="000000"/>
          <w:kern w:val="0"/>
          <w:sz w:val="32"/>
          <w:szCs w:val="32"/>
        </w:rPr>
        <w:t>主要法律、法规、规章的名称和相关条款</w:t>
      </w:r>
      <w:r>
        <w:rPr>
          <w:rFonts w:hint="eastAsia" w:ascii="仿宋_GB2312" w:hAnsi="仿宋_GB2312" w:eastAsia="仿宋_GB2312" w:cs="仿宋_GB2312"/>
          <w:kern w:val="2"/>
          <w:sz w:val="32"/>
          <w:szCs w:val="32"/>
          <w:lang w:val="en-US" w:eastAsia="zh-CN" w:bidi="ar-SA"/>
        </w:rPr>
        <w:t>）</w:t>
      </w:r>
    </w:p>
    <w:p w14:paraId="5A848F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p w14:paraId="40B7D2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（四）证明的内容（许可</w:t>
      </w:r>
      <w:r>
        <w:rPr>
          <w:rFonts w:hint="eastAsia" w:ascii="仿宋_GB2312" w:hAnsi="仿宋_GB2312" w:eastAsia="仿宋_GB2312" w:cs="仿宋_GB2312"/>
          <w:i w:val="0"/>
          <w:iCs w:val="0"/>
          <w:color w:val="000000"/>
          <w:kern w:val="0"/>
          <w:sz w:val="32"/>
          <w:szCs w:val="32"/>
        </w:rPr>
        <w:t>条件、标准</w:t>
      </w:r>
      <w:r>
        <w:rPr>
          <w:rFonts w:hint="eastAsia" w:ascii="仿宋_GB2312" w:hAnsi="仿宋_GB2312" w:eastAsia="仿宋_GB2312" w:cs="仿宋_GB2312"/>
          <w:kern w:val="2"/>
          <w:sz w:val="32"/>
          <w:szCs w:val="32"/>
          <w:lang w:val="en-US" w:eastAsia="zh-CN" w:bidi="ar-SA"/>
        </w:rPr>
        <w:t>和材料要求）</w:t>
      </w:r>
    </w:p>
    <w:p w14:paraId="5376EF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p w14:paraId="01CB90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（五）申请人是否愿意就上述事项采取承诺制的方式</w:t>
      </w:r>
    </w:p>
    <w:p w14:paraId="01498D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是                  2.  否</w:t>
      </w:r>
    </w:p>
    <w:p w14:paraId="51DD85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（六）承诺的方式</w:t>
      </w:r>
    </w:p>
    <w:p w14:paraId="2AEA29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本证明事项采用书面承诺方式，申请人愿意做出承诺的，应当向行政机关提交本人签字后的告知承诺书原件。</w:t>
      </w:r>
    </w:p>
    <w:p w14:paraId="6E7BD6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本证明事项必须由申请人作出承诺，不可（可）代为承诺。</w:t>
      </w:r>
    </w:p>
    <w:p w14:paraId="1712BF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（七）承诺的效力</w:t>
      </w:r>
    </w:p>
    <w:p w14:paraId="3B4E31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申请人书面承诺已经符合告知的条件、要求，并愿意承担不实承诺的法律责任后，行政机关不再索要有关证明而依据书面承诺办理相关事项。</w:t>
      </w:r>
    </w:p>
    <w:p w14:paraId="59EF2B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（八）不实承诺的责任</w:t>
      </w:r>
    </w:p>
    <w:p w14:paraId="7223A0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证明事项告知承诺失信行为信息纳入甘肃省公共信用信息目录，对执意隐瞒真实情况、提供虚假承诺办理有关事项的，依法作出如下处理：</w:t>
      </w:r>
    </w:p>
    <w:p w14:paraId="2B2684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p w14:paraId="5FE1AD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（九）承诺的公开</w:t>
      </w:r>
    </w:p>
    <w:p w14:paraId="4D785A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（承诺书是否公开、公开范围及时限等。）</w:t>
      </w:r>
    </w:p>
    <w:p w14:paraId="644B18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三、申请人承诺</w:t>
      </w:r>
    </w:p>
    <w:p w14:paraId="275D35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申请人现</w:t>
      </w:r>
      <w:r>
        <w:rPr>
          <w:rFonts w:hint="eastAsia" w:ascii="仿宋_GB2312" w:hAnsi="仿宋_GB2312" w:eastAsia="仿宋_GB2312" w:cs="仿宋_GB2312"/>
          <w:color w:val="auto"/>
          <w:kern w:val="2"/>
          <w:sz w:val="32"/>
          <w:szCs w:val="32"/>
          <w:lang w:val="en-US" w:eastAsia="zh-CN" w:bidi="ar-SA"/>
        </w:rPr>
        <w:t>作出</w:t>
      </w:r>
      <w:r>
        <w:rPr>
          <w:rFonts w:hint="eastAsia" w:ascii="仿宋_GB2312" w:hAnsi="仿宋_GB2312" w:eastAsia="仿宋_GB2312" w:cs="仿宋_GB2312"/>
          <w:kern w:val="2"/>
          <w:sz w:val="32"/>
          <w:szCs w:val="32"/>
          <w:lang w:val="en-US" w:eastAsia="zh-CN" w:bidi="ar-SA"/>
        </w:rPr>
        <w:t>下列承诺：</w:t>
      </w:r>
    </w:p>
    <w:p w14:paraId="610EFA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（一）已经知晓行政机关告知的全部内容；</w:t>
      </w:r>
    </w:p>
    <w:p w14:paraId="136802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（二）自身已符合行政机关告知的条件、要求，具体是：</w:t>
      </w:r>
    </w:p>
    <w:p w14:paraId="3AF22A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p w14:paraId="7BC583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（三）愿意承担不实承诺的法律责任；</w:t>
      </w:r>
    </w:p>
    <w:p w14:paraId="665CE0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（四）本告知承诺文书中填写的基本信息真实、准确；</w:t>
      </w:r>
    </w:p>
    <w:p w14:paraId="69916B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（五）上述承诺是申请人真实的意思表示。</w:t>
      </w:r>
    </w:p>
    <w:p w14:paraId="285A9C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本人愿意配合对上述内容的调查、核查、核验。</w:t>
      </w:r>
    </w:p>
    <w:p w14:paraId="539807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5C5C18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77F703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960" w:firstLineChars="3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申请人签名：              行政机关（公章）:</w:t>
      </w:r>
    </w:p>
    <w:p w14:paraId="3C797F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（捺印/盖章）              经办人：</w:t>
      </w:r>
    </w:p>
    <w:p w14:paraId="681B82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090DE4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62BF3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280" w:firstLineChars="4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  期：                  日  期：</w:t>
      </w:r>
    </w:p>
    <w:p w14:paraId="2B6056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1A614C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3FB4FC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024A5F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（本文书一式两份，行政机关与申请人各执一份。)</w:t>
      </w:r>
    </w:p>
    <w:p w14:paraId="6615A6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14:paraId="11DF19B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lang w:val="en-US" w:eastAsia="zh-CN"/>
        </w:rPr>
        <w:t>稀土高新区</w:t>
      </w:r>
      <w:r>
        <w:rPr>
          <w:rFonts w:hint="eastAsia" w:ascii="方正小标宋简体" w:hAnsi="方正小标宋简体" w:eastAsia="方正小标宋简体" w:cs="方正小标宋简体"/>
          <w:sz w:val="36"/>
          <w:szCs w:val="44"/>
        </w:rPr>
        <w:t>本级证明事项保留目录清单</w:t>
      </w:r>
    </w:p>
    <w:p w14:paraId="290AE3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sz w:val="32"/>
          <w:szCs w:val="40"/>
          <w:lang w:val="en-US" w:eastAsia="zh-CN"/>
        </w:rPr>
      </w:pPr>
    </w:p>
    <w:tbl>
      <w:tblPr>
        <w:tblStyle w:val="4"/>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111"/>
        <w:gridCol w:w="1599"/>
        <w:gridCol w:w="1995"/>
        <w:gridCol w:w="825"/>
        <w:gridCol w:w="1680"/>
        <w:gridCol w:w="807"/>
      </w:tblGrid>
      <w:tr w14:paraId="22E8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673" w:type="dxa"/>
            <w:vAlign w:val="center"/>
          </w:tcPr>
          <w:p w14:paraId="304B87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序号</w:t>
            </w:r>
          </w:p>
        </w:tc>
        <w:tc>
          <w:tcPr>
            <w:tcW w:w="2111" w:type="dxa"/>
            <w:vAlign w:val="center"/>
          </w:tcPr>
          <w:p w14:paraId="2CB837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证明名称</w:t>
            </w:r>
          </w:p>
        </w:tc>
        <w:tc>
          <w:tcPr>
            <w:tcW w:w="1599" w:type="dxa"/>
            <w:vAlign w:val="center"/>
          </w:tcPr>
          <w:p w14:paraId="64952E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证明用途</w:t>
            </w:r>
          </w:p>
        </w:tc>
        <w:tc>
          <w:tcPr>
            <w:tcW w:w="1995" w:type="dxa"/>
            <w:vAlign w:val="center"/>
          </w:tcPr>
          <w:p w14:paraId="63D918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设定依据</w:t>
            </w:r>
          </w:p>
        </w:tc>
        <w:tc>
          <w:tcPr>
            <w:tcW w:w="825" w:type="dxa"/>
            <w:vAlign w:val="center"/>
          </w:tcPr>
          <w:p w14:paraId="6C116E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索要</w:t>
            </w:r>
          </w:p>
          <w:p w14:paraId="133081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单位</w:t>
            </w:r>
          </w:p>
        </w:tc>
        <w:tc>
          <w:tcPr>
            <w:tcW w:w="1680" w:type="dxa"/>
            <w:vAlign w:val="center"/>
          </w:tcPr>
          <w:p w14:paraId="3CD21D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出具单位</w:t>
            </w:r>
          </w:p>
        </w:tc>
        <w:tc>
          <w:tcPr>
            <w:tcW w:w="807" w:type="dxa"/>
            <w:vAlign w:val="center"/>
          </w:tcPr>
          <w:p w14:paraId="2ECE9E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备注</w:t>
            </w:r>
          </w:p>
        </w:tc>
      </w:tr>
      <w:tr w14:paraId="73A7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0F98C1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center"/>
              <w:textAlignment w:val="auto"/>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kern w:val="2"/>
                <w:sz w:val="18"/>
                <w:szCs w:val="18"/>
                <w:highlight w:val="none"/>
                <w:vertAlign w:val="baseline"/>
                <w:lang w:val="en-US" w:eastAsia="zh-CN" w:bidi="ar-SA"/>
              </w:rPr>
              <w:t>1</w:t>
            </w:r>
          </w:p>
        </w:tc>
        <w:tc>
          <w:tcPr>
            <w:tcW w:w="2111" w:type="dxa"/>
            <w:vAlign w:val="center"/>
          </w:tcPr>
          <w:p w14:paraId="666011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捐赠财产有效证明</w:t>
            </w:r>
          </w:p>
        </w:tc>
        <w:tc>
          <w:tcPr>
            <w:tcW w:w="1599" w:type="dxa"/>
            <w:vAlign w:val="center"/>
          </w:tcPr>
          <w:p w14:paraId="0F2B7B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民办学校设置审批</w:t>
            </w:r>
          </w:p>
        </w:tc>
        <w:tc>
          <w:tcPr>
            <w:tcW w:w="1995" w:type="dxa"/>
            <w:vAlign w:val="center"/>
          </w:tcPr>
          <w:p w14:paraId="6DB88A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kern w:val="2"/>
                <w:sz w:val="18"/>
                <w:szCs w:val="18"/>
                <w:highlight w:val="none"/>
                <w:vertAlign w:val="baseline"/>
                <w:lang w:val="en-US" w:eastAsia="zh-CN" w:bidi="ar-SA"/>
              </w:rPr>
              <w:t>《民办教育促进法》第十三条</w:t>
            </w:r>
          </w:p>
        </w:tc>
        <w:tc>
          <w:tcPr>
            <w:tcW w:w="825" w:type="dxa"/>
            <w:vMerge w:val="restart"/>
            <w:vAlign w:val="center"/>
          </w:tcPr>
          <w:p w14:paraId="33B069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i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caps w:val="0"/>
                <w:color w:val="000000"/>
                <w:spacing w:val="0"/>
                <w:sz w:val="18"/>
                <w:szCs w:val="18"/>
                <w:highlight w:val="none"/>
                <w:shd w:val="clear" w:color="auto" w:fill="FFFFFF"/>
                <w:lang w:val="en-US" w:eastAsia="zh-CN"/>
              </w:rPr>
              <w:t>教</w:t>
            </w:r>
          </w:p>
          <w:p w14:paraId="56A131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i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caps w:val="0"/>
                <w:color w:val="000000"/>
                <w:spacing w:val="0"/>
                <w:sz w:val="18"/>
                <w:szCs w:val="18"/>
                <w:highlight w:val="none"/>
                <w:shd w:val="clear" w:color="auto" w:fill="FFFFFF"/>
                <w:lang w:val="en-US" w:eastAsia="zh-CN"/>
              </w:rPr>
              <w:t>育</w:t>
            </w:r>
          </w:p>
          <w:p w14:paraId="387005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val="0"/>
                <w:bCs w:val="0"/>
                <w:i w:val="0"/>
                <w:caps w:val="0"/>
                <w:color w:val="000000"/>
                <w:spacing w:val="0"/>
                <w:sz w:val="18"/>
                <w:szCs w:val="18"/>
                <w:highlight w:val="none"/>
                <w:shd w:val="clear" w:color="auto" w:fill="FFFFFF"/>
                <w:lang w:val="en-US" w:eastAsia="zh-CN"/>
              </w:rPr>
              <w:t>局</w:t>
            </w:r>
          </w:p>
        </w:tc>
        <w:tc>
          <w:tcPr>
            <w:tcW w:w="1680" w:type="dxa"/>
            <w:vAlign w:val="center"/>
          </w:tcPr>
          <w:p w14:paraId="03C846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color w:val="000000"/>
                <w:kern w:val="2"/>
                <w:sz w:val="18"/>
                <w:szCs w:val="18"/>
                <w:highlight w:val="none"/>
                <w:lang w:val="en-US" w:eastAsia="zh-CN" w:bidi="ar-SA"/>
              </w:rPr>
              <w:t>申办者</w:t>
            </w:r>
          </w:p>
        </w:tc>
        <w:tc>
          <w:tcPr>
            <w:tcW w:w="807" w:type="dxa"/>
            <w:vAlign w:val="center"/>
          </w:tcPr>
          <w:p w14:paraId="744DB3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2"/>
                <w:sz w:val="18"/>
                <w:szCs w:val="18"/>
                <w:highlight w:val="none"/>
                <w:lang w:val="en-US" w:eastAsia="zh-CN" w:bidi="ar-SA"/>
              </w:rPr>
            </w:pPr>
          </w:p>
        </w:tc>
      </w:tr>
      <w:tr w14:paraId="2873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0A4D1E9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center"/>
              <w:textAlignment w:val="auto"/>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kern w:val="2"/>
                <w:sz w:val="18"/>
                <w:szCs w:val="18"/>
                <w:highlight w:val="none"/>
                <w:vertAlign w:val="baseline"/>
                <w:lang w:val="en-US" w:eastAsia="zh-CN" w:bidi="ar-SA"/>
              </w:rPr>
              <w:t>2</w:t>
            </w:r>
          </w:p>
        </w:tc>
        <w:tc>
          <w:tcPr>
            <w:tcW w:w="2111" w:type="dxa"/>
            <w:vAlign w:val="center"/>
          </w:tcPr>
          <w:p w14:paraId="47138E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学校资产的有效证明文件</w:t>
            </w:r>
          </w:p>
        </w:tc>
        <w:tc>
          <w:tcPr>
            <w:tcW w:w="1599" w:type="dxa"/>
            <w:vAlign w:val="center"/>
          </w:tcPr>
          <w:p w14:paraId="4EC205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kern w:val="2"/>
                <w:sz w:val="18"/>
                <w:szCs w:val="18"/>
                <w:highlight w:val="none"/>
                <w:vertAlign w:val="baseline"/>
                <w:lang w:val="en-US" w:eastAsia="zh-CN" w:bidi="ar-SA"/>
              </w:rPr>
              <w:t>民办学校设置审批</w:t>
            </w:r>
          </w:p>
        </w:tc>
        <w:tc>
          <w:tcPr>
            <w:tcW w:w="1995" w:type="dxa"/>
            <w:vAlign w:val="center"/>
          </w:tcPr>
          <w:p w14:paraId="1A57BF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kern w:val="2"/>
                <w:sz w:val="18"/>
                <w:szCs w:val="18"/>
                <w:highlight w:val="none"/>
                <w:vertAlign w:val="baseline"/>
                <w:lang w:val="en-US" w:eastAsia="zh-CN" w:bidi="ar-SA"/>
              </w:rPr>
              <w:t>《民办教育促进法》第十五条</w:t>
            </w:r>
          </w:p>
        </w:tc>
        <w:tc>
          <w:tcPr>
            <w:tcW w:w="825" w:type="dxa"/>
            <w:vMerge w:val="continue"/>
            <w:vAlign w:val="center"/>
          </w:tcPr>
          <w:p w14:paraId="586209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16C5EC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color w:val="000000"/>
                <w:kern w:val="2"/>
                <w:sz w:val="18"/>
                <w:szCs w:val="18"/>
                <w:highlight w:val="none"/>
                <w:lang w:val="en-US" w:eastAsia="zh-CN" w:bidi="ar-SA"/>
              </w:rPr>
              <w:t>申办者</w:t>
            </w:r>
          </w:p>
        </w:tc>
        <w:tc>
          <w:tcPr>
            <w:tcW w:w="807" w:type="dxa"/>
            <w:vAlign w:val="center"/>
          </w:tcPr>
          <w:p w14:paraId="72B91E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2"/>
                <w:sz w:val="18"/>
                <w:szCs w:val="18"/>
                <w:highlight w:val="none"/>
                <w:lang w:val="en-US" w:eastAsia="zh-CN" w:bidi="ar-SA"/>
              </w:rPr>
            </w:pPr>
          </w:p>
        </w:tc>
      </w:tr>
      <w:tr w14:paraId="6699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0831C8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3</w:t>
            </w:r>
          </w:p>
        </w:tc>
        <w:tc>
          <w:tcPr>
            <w:tcW w:w="2111" w:type="dxa"/>
            <w:vAlign w:val="center"/>
          </w:tcPr>
          <w:p w14:paraId="596F8C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校长、教师、财会人员的资格证明文件</w:t>
            </w:r>
          </w:p>
        </w:tc>
        <w:tc>
          <w:tcPr>
            <w:tcW w:w="1599" w:type="dxa"/>
            <w:vAlign w:val="center"/>
          </w:tcPr>
          <w:p w14:paraId="6E8764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民办学校设置审批</w:t>
            </w:r>
          </w:p>
        </w:tc>
        <w:tc>
          <w:tcPr>
            <w:tcW w:w="1995" w:type="dxa"/>
            <w:vAlign w:val="center"/>
          </w:tcPr>
          <w:p w14:paraId="0F12FD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《民办教育促进法》第</w:t>
            </w:r>
            <w:r>
              <w:rPr>
                <w:rFonts w:hint="eastAsia" w:ascii="宋体" w:hAnsi="宋体" w:eastAsia="宋体" w:cs="宋体"/>
                <w:b w:val="0"/>
                <w:bCs w:val="0"/>
                <w:color w:val="000000"/>
                <w:sz w:val="18"/>
                <w:szCs w:val="18"/>
                <w:highlight w:val="none"/>
                <w:vertAlign w:val="baseline"/>
                <w:lang w:val="en-US" w:eastAsia="zh-CN"/>
              </w:rPr>
              <w:t>十五条</w:t>
            </w:r>
          </w:p>
        </w:tc>
        <w:tc>
          <w:tcPr>
            <w:tcW w:w="825" w:type="dxa"/>
            <w:vMerge w:val="continue"/>
            <w:vAlign w:val="center"/>
          </w:tcPr>
          <w:p w14:paraId="1E04BA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328EC8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申办者</w:t>
            </w:r>
          </w:p>
        </w:tc>
        <w:tc>
          <w:tcPr>
            <w:tcW w:w="807" w:type="dxa"/>
            <w:vAlign w:val="center"/>
          </w:tcPr>
          <w:p w14:paraId="4C8DD6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r>
      <w:tr w14:paraId="47CE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2B10E5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4</w:t>
            </w:r>
          </w:p>
        </w:tc>
        <w:tc>
          <w:tcPr>
            <w:tcW w:w="2111" w:type="dxa"/>
            <w:vAlign w:val="center"/>
          </w:tcPr>
          <w:p w14:paraId="510FDC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户口迁移证明</w:t>
            </w:r>
          </w:p>
        </w:tc>
        <w:tc>
          <w:tcPr>
            <w:tcW w:w="1599" w:type="dxa"/>
            <w:vAlign w:val="center"/>
          </w:tcPr>
          <w:p w14:paraId="0B4EC8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落户</w:t>
            </w:r>
          </w:p>
        </w:tc>
        <w:tc>
          <w:tcPr>
            <w:tcW w:w="1995" w:type="dxa"/>
            <w:vAlign w:val="center"/>
          </w:tcPr>
          <w:p w14:paraId="42B0DE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《户口登记条例》第</w:t>
            </w:r>
            <w:r>
              <w:rPr>
                <w:rFonts w:hint="eastAsia" w:ascii="宋体" w:hAnsi="宋体" w:eastAsia="宋体" w:cs="宋体"/>
                <w:b w:val="0"/>
                <w:bCs w:val="0"/>
                <w:color w:val="000000"/>
                <w:sz w:val="18"/>
                <w:szCs w:val="18"/>
                <w:highlight w:val="none"/>
                <w:vertAlign w:val="baseline"/>
                <w:lang w:val="en-US" w:eastAsia="zh-CN"/>
              </w:rPr>
              <w:t>十</w:t>
            </w:r>
            <w:r>
              <w:rPr>
                <w:rFonts w:hint="eastAsia" w:ascii="宋体" w:hAnsi="宋体" w:eastAsia="宋体" w:cs="宋体"/>
                <w:b w:val="0"/>
                <w:bCs w:val="0"/>
                <w:color w:val="000000"/>
                <w:sz w:val="18"/>
                <w:szCs w:val="18"/>
                <w:highlight w:val="none"/>
                <w:vertAlign w:val="baseline"/>
                <w:lang w:eastAsia="zh-CN"/>
              </w:rPr>
              <w:t>条</w:t>
            </w:r>
          </w:p>
        </w:tc>
        <w:tc>
          <w:tcPr>
            <w:tcW w:w="825" w:type="dxa"/>
            <w:vMerge w:val="restart"/>
            <w:vAlign w:val="center"/>
          </w:tcPr>
          <w:p w14:paraId="1386F5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公</w:t>
            </w:r>
          </w:p>
          <w:p w14:paraId="7BA44B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安</w:t>
            </w:r>
          </w:p>
          <w:p w14:paraId="48D0A7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分</w:t>
            </w:r>
          </w:p>
          <w:p w14:paraId="661D7C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局</w:t>
            </w:r>
          </w:p>
        </w:tc>
        <w:tc>
          <w:tcPr>
            <w:tcW w:w="1680" w:type="dxa"/>
            <w:vAlign w:val="center"/>
          </w:tcPr>
          <w:p w14:paraId="21016D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迁入户口地</w:t>
            </w:r>
          </w:p>
          <w:p w14:paraId="55280A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管理部门</w:t>
            </w:r>
          </w:p>
        </w:tc>
        <w:tc>
          <w:tcPr>
            <w:tcW w:w="807" w:type="dxa"/>
            <w:vAlign w:val="center"/>
          </w:tcPr>
          <w:p w14:paraId="1C0A74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55B6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004A3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5</w:t>
            </w:r>
          </w:p>
        </w:tc>
        <w:tc>
          <w:tcPr>
            <w:tcW w:w="2111" w:type="dxa"/>
            <w:vAlign w:val="center"/>
          </w:tcPr>
          <w:p w14:paraId="12CC73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特种行业许可证</w:t>
            </w:r>
          </w:p>
        </w:tc>
        <w:tc>
          <w:tcPr>
            <w:tcW w:w="1599" w:type="dxa"/>
            <w:vAlign w:val="center"/>
          </w:tcPr>
          <w:p w14:paraId="59C074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申请开办旅馆业</w:t>
            </w:r>
          </w:p>
        </w:tc>
        <w:tc>
          <w:tcPr>
            <w:tcW w:w="1995" w:type="dxa"/>
            <w:vAlign w:val="center"/>
          </w:tcPr>
          <w:p w14:paraId="05F57D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《特种行业管理条例》</w:t>
            </w:r>
          </w:p>
          <w:p w14:paraId="5F7FD4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第十一条</w:t>
            </w:r>
          </w:p>
        </w:tc>
        <w:tc>
          <w:tcPr>
            <w:tcW w:w="825" w:type="dxa"/>
            <w:vMerge w:val="continue"/>
            <w:vAlign w:val="center"/>
          </w:tcPr>
          <w:p w14:paraId="236358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3F1986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公安局</w:t>
            </w:r>
          </w:p>
        </w:tc>
        <w:tc>
          <w:tcPr>
            <w:tcW w:w="807" w:type="dxa"/>
            <w:vAlign w:val="center"/>
          </w:tcPr>
          <w:p w14:paraId="53E39D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0BF5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7CB5FE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6</w:t>
            </w:r>
          </w:p>
        </w:tc>
        <w:tc>
          <w:tcPr>
            <w:tcW w:w="2111" w:type="dxa"/>
            <w:vAlign w:val="center"/>
          </w:tcPr>
          <w:p w14:paraId="4773CA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身份证变号证明</w:t>
            </w:r>
          </w:p>
        </w:tc>
        <w:tc>
          <w:tcPr>
            <w:tcW w:w="1599" w:type="dxa"/>
            <w:vAlign w:val="center"/>
          </w:tcPr>
          <w:p w14:paraId="07F71F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更改身份证号码</w:t>
            </w:r>
          </w:p>
        </w:tc>
        <w:tc>
          <w:tcPr>
            <w:tcW w:w="1995" w:type="dxa"/>
            <w:vAlign w:val="center"/>
          </w:tcPr>
          <w:p w14:paraId="395B8B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《户口登记条例》第</w:t>
            </w:r>
            <w:r>
              <w:rPr>
                <w:rFonts w:hint="eastAsia" w:ascii="宋体" w:hAnsi="宋体" w:eastAsia="宋体" w:cs="宋体"/>
                <w:b w:val="0"/>
                <w:bCs w:val="0"/>
                <w:color w:val="000000"/>
                <w:sz w:val="18"/>
                <w:szCs w:val="18"/>
                <w:highlight w:val="none"/>
                <w:vertAlign w:val="baseline"/>
                <w:lang w:val="en-US" w:eastAsia="zh-CN"/>
              </w:rPr>
              <w:t>十七</w:t>
            </w:r>
            <w:r>
              <w:rPr>
                <w:rFonts w:hint="eastAsia" w:ascii="宋体" w:hAnsi="宋体" w:eastAsia="宋体" w:cs="宋体"/>
                <w:b w:val="0"/>
                <w:bCs w:val="0"/>
                <w:color w:val="000000"/>
                <w:sz w:val="18"/>
                <w:szCs w:val="18"/>
                <w:highlight w:val="none"/>
                <w:vertAlign w:val="baseline"/>
                <w:lang w:eastAsia="zh-CN"/>
              </w:rPr>
              <w:t>条</w:t>
            </w:r>
          </w:p>
        </w:tc>
        <w:tc>
          <w:tcPr>
            <w:tcW w:w="825" w:type="dxa"/>
            <w:vMerge w:val="continue"/>
            <w:vAlign w:val="center"/>
          </w:tcPr>
          <w:p w14:paraId="27234A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2DD38C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公安机关户籍</w:t>
            </w:r>
          </w:p>
          <w:p w14:paraId="2E88AB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管理部门</w:t>
            </w:r>
          </w:p>
        </w:tc>
        <w:tc>
          <w:tcPr>
            <w:tcW w:w="807" w:type="dxa"/>
            <w:vAlign w:val="center"/>
          </w:tcPr>
          <w:p w14:paraId="4C3F5B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7716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0BE2B0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7</w:t>
            </w:r>
          </w:p>
        </w:tc>
        <w:tc>
          <w:tcPr>
            <w:tcW w:w="2111" w:type="dxa"/>
            <w:vAlign w:val="center"/>
          </w:tcPr>
          <w:p w14:paraId="58BCDE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入伍前户口所在地派出所出具的户口注销证明</w:t>
            </w:r>
          </w:p>
        </w:tc>
        <w:tc>
          <w:tcPr>
            <w:tcW w:w="1599" w:type="dxa"/>
            <w:vAlign w:val="center"/>
          </w:tcPr>
          <w:p w14:paraId="078ECB1E">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军人退伍、复员、转业、退休落户</w:t>
            </w:r>
          </w:p>
        </w:tc>
        <w:tc>
          <w:tcPr>
            <w:tcW w:w="1995" w:type="dxa"/>
            <w:vAlign w:val="center"/>
          </w:tcPr>
          <w:p w14:paraId="335A6F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《户口登记条例》第</w:t>
            </w:r>
            <w:r>
              <w:rPr>
                <w:rFonts w:hint="eastAsia" w:ascii="宋体" w:hAnsi="宋体" w:eastAsia="宋体" w:cs="宋体"/>
                <w:b w:val="0"/>
                <w:bCs w:val="0"/>
                <w:color w:val="000000"/>
                <w:sz w:val="18"/>
                <w:szCs w:val="18"/>
                <w:highlight w:val="none"/>
                <w:vertAlign w:val="baseline"/>
                <w:lang w:val="en-US" w:eastAsia="zh-CN"/>
              </w:rPr>
              <w:t>十三</w:t>
            </w:r>
            <w:r>
              <w:rPr>
                <w:rFonts w:hint="eastAsia" w:ascii="宋体" w:hAnsi="宋体" w:eastAsia="宋体" w:cs="宋体"/>
                <w:b w:val="0"/>
                <w:bCs w:val="0"/>
                <w:color w:val="000000"/>
                <w:sz w:val="18"/>
                <w:szCs w:val="18"/>
                <w:highlight w:val="none"/>
                <w:vertAlign w:val="baseline"/>
                <w:lang w:eastAsia="zh-CN"/>
              </w:rPr>
              <w:t>条</w:t>
            </w:r>
          </w:p>
        </w:tc>
        <w:tc>
          <w:tcPr>
            <w:tcW w:w="825" w:type="dxa"/>
            <w:vMerge w:val="continue"/>
            <w:vAlign w:val="center"/>
          </w:tcPr>
          <w:p w14:paraId="1DA1AA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44C88C36">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公安派出所</w:t>
            </w:r>
          </w:p>
        </w:tc>
        <w:tc>
          <w:tcPr>
            <w:tcW w:w="807" w:type="dxa"/>
            <w:vAlign w:val="center"/>
          </w:tcPr>
          <w:p w14:paraId="74BA68FF">
            <w:pPr>
              <w:spacing w:beforeLines="0" w:afterLines="0"/>
              <w:jc w:val="center"/>
              <w:rPr>
                <w:rFonts w:hint="eastAsia" w:ascii="宋体" w:hAnsi="宋体" w:eastAsia="宋体" w:cs="宋体"/>
                <w:color w:val="000000"/>
                <w:sz w:val="18"/>
                <w:szCs w:val="18"/>
                <w:highlight w:val="none"/>
              </w:rPr>
            </w:pPr>
          </w:p>
        </w:tc>
      </w:tr>
      <w:tr w14:paraId="72F3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2CBD2FA5">
            <w:pPr>
              <w:numPr>
                <w:ilvl w:val="0"/>
                <w:numId w:val="0"/>
              </w:numPr>
              <w:spacing w:beforeLines="0" w:afterLines="0"/>
              <w:ind w:left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8</w:t>
            </w:r>
          </w:p>
        </w:tc>
        <w:tc>
          <w:tcPr>
            <w:tcW w:w="2111" w:type="dxa"/>
            <w:vAlign w:val="center"/>
          </w:tcPr>
          <w:p w14:paraId="6E9086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死亡证明</w:t>
            </w:r>
          </w:p>
        </w:tc>
        <w:tc>
          <w:tcPr>
            <w:tcW w:w="1599" w:type="dxa"/>
            <w:vAlign w:val="center"/>
          </w:tcPr>
          <w:p w14:paraId="7AD4CFED">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死亡户口注销</w:t>
            </w:r>
          </w:p>
        </w:tc>
        <w:tc>
          <w:tcPr>
            <w:tcW w:w="1995" w:type="dxa"/>
            <w:vAlign w:val="center"/>
          </w:tcPr>
          <w:p w14:paraId="22B88913">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《户口</w:t>
            </w:r>
            <w:r>
              <w:rPr>
                <w:rFonts w:hint="eastAsia" w:ascii="宋体" w:hAnsi="宋体" w:eastAsia="宋体" w:cs="宋体"/>
                <w:color w:val="000000"/>
                <w:sz w:val="18"/>
                <w:szCs w:val="18"/>
                <w:highlight w:val="none"/>
                <w:lang w:val="en-US" w:eastAsia="zh-CN"/>
              </w:rPr>
              <w:t>登记条例》第八条公安部三局关于转发《死亡人员关于户口注销工作规范》</w:t>
            </w:r>
          </w:p>
          <w:p w14:paraId="19255FEA">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的通知</w:t>
            </w:r>
          </w:p>
        </w:tc>
        <w:tc>
          <w:tcPr>
            <w:tcW w:w="825" w:type="dxa"/>
            <w:vMerge w:val="continue"/>
            <w:vAlign w:val="center"/>
          </w:tcPr>
          <w:p w14:paraId="1E43E9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0F32E5FB">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医疗卫生机构</w:t>
            </w:r>
            <w:r>
              <w:rPr>
                <w:rFonts w:hint="eastAsia" w:ascii="宋体" w:hAnsi="宋体" w:eastAsia="宋体" w:cs="宋体"/>
                <w:color w:val="000000"/>
                <w:sz w:val="18"/>
                <w:szCs w:val="18"/>
                <w:highlight w:val="none"/>
              </w:rPr>
              <w:t>、</w:t>
            </w:r>
          </w:p>
          <w:p w14:paraId="0DA4E078">
            <w:pPr>
              <w:spacing w:beforeLines="0" w:afterLines="0"/>
              <w:jc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rPr>
              <w:t>公安派出所</w:t>
            </w:r>
            <w:r>
              <w:rPr>
                <w:rFonts w:hint="eastAsia" w:ascii="宋体" w:hAnsi="宋体" w:eastAsia="宋体" w:cs="宋体"/>
                <w:color w:val="000000"/>
                <w:sz w:val="18"/>
                <w:szCs w:val="18"/>
                <w:highlight w:val="none"/>
                <w:lang w:eastAsia="zh-CN"/>
              </w:rPr>
              <w:t>、</w:t>
            </w:r>
          </w:p>
          <w:p w14:paraId="6EA3B889">
            <w:pPr>
              <w:spacing w:beforeLines="0" w:afterLines="0"/>
              <w:jc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rPr>
              <w:t>司法行政部门</w:t>
            </w:r>
            <w:r>
              <w:rPr>
                <w:rFonts w:hint="eastAsia" w:ascii="宋体" w:hAnsi="宋体" w:eastAsia="宋体" w:cs="宋体"/>
                <w:color w:val="000000"/>
                <w:sz w:val="18"/>
                <w:szCs w:val="18"/>
                <w:highlight w:val="none"/>
                <w:lang w:eastAsia="zh-CN"/>
              </w:rPr>
              <w:t>、</w:t>
            </w:r>
          </w:p>
          <w:p w14:paraId="4A2318C8">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驻外使领馆</w:t>
            </w:r>
          </w:p>
        </w:tc>
        <w:tc>
          <w:tcPr>
            <w:tcW w:w="807" w:type="dxa"/>
            <w:vAlign w:val="center"/>
          </w:tcPr>
          <w:p w14:paraId="59A22D56">
            <w:pPr>
              <w:spacing w:beforeLines="0" w:afterLines="0"/>
              <w:jc w:val="center"/>
              <w:rPr>
                <w:rFonts w:hint="eastAsia" w:ascii="宋体" w:hAnsi="宋体" w:eastAsia="宋体" w:cs="宋体"/>
                <w:color w:val="000000"/>
                <w:sz w:val="18"/>
                <w:szCs w:val="18"/>
                <w:highlight w:val="none"/>
                <w:lang w:val="en-US" w:eastAsia="zh-CN"/>
              </w:rPr>
            </w:pPr>
          </w:p>
        </w:tc>
      </w:tr>
      <w:tr w14:paraId="563F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30E8BA95">
            <w:pPr>
              <w:numPr>
                <w:ilvl w:val="0"/>
                <w:numId w:val="0"/>
              </w:numPr>
              <w:spacing w:beforeLines="0" w:afterLines="0"/>
              <w:ind w:left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9</w:t>
            </w:r>
          </w:p>
        </w:tc>
        <w:tc>
          <w:tcPr>
            <w:tcW w:w="2111" w:type="dxa"/>
            <w:vAlign w:val="center"/>
          </w:tcPr>
          <w:p w14:paraId="07EF28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单位同意落户证明</w:t>
            </w:r>
          </w:p>
        </w:tc>
        <w:tc>
          <w:tcPr>
            <w:tcW w:w="1599" w:type="dxa"/>
            <w:vAlign w:val="center"/>
          </w:tcPr>
          <w:p w14:paraId="09ED37F5">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迁入单位集体户中</w:t>
            </w:r>
          </w:p>
        </w:tc>
        <w:tc>
          <w:tcPr>
            <w:tcW w:w="1995" w:type="dxa"/>
            <w:vMerge w:val="restart"/>
            <w:vAlign w:val="center"/>
          </w:tcPr>
          <w:p w14:paraId="3094A0F7">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《户口登记条例》</w:t>
            </w:r>
          </w:p>
          <w:p w14:paraId="4BDA3A00">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第</w:t>
            </w:r>
            <w:r>
              <w:rPr>
                <w:rFonts w:hint="eastAsia" w:ascii="宋体" w:hAnsi="宋体" w:eastAsia="宋体" w:cs="宋体"/>
                <w:color w:val="000000"/>
                <w:sz w:val="18"/>
                <w:szCs w:val="18"/>
                <w:highlight w:val="none"/>
                <w:lang w:val="en-US" w:eastAsia="zh-CN"/>
              </w:rPr>
              <w:t>十</w:t>
            </w:r>
            <w:r>
              <w:rPr>
                <w:rFonts w:hint="eastAsia" w:ascii="宋体" w:hAnsi="宋体" w:eastAsia="宋体" w:cs="宋体"/>
                <w:color w:val="000000"/>
                <w:sz w:val="18"/>
                <w:szCs w:val="18"/>
                <w:highlight w:val="none"/>
              </w:rPr>
              <w:t>条</w:t>
            </w:r>
          </w:p>
        </w:tc>
        <w:tc>
          <w:tcPr>
            <w:tcW w:w="825" w:type="dxa"/>
            <w:vMerge w:val="continue"/>
            <w:vAlign w:val="center"/>
          </w:tcPr>
          <w:p w14:paraId="4416C2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22CD5F93">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申请人单位</w:t>
            </w:r>
          </w:p>
        </w:tc>
        <w:tc>
          <w:tcPr>
            <w:tcW w:w="807" w:type="dxa"/>
            <w:vAlign w:val="center"/>
          </w:tcPr>
          <w:p w14:paraId="5685593E">
            <w:pPr>
              <w:spacing w:beforeLines="0" w:afterLines="0"/>
              <w:jc w:val="center"/>
              <w:rPr>
                <w:rFonts w:hint="eastAsia" w:ascii="宋体" w:hAnsi="宋体" w:eastAsia="宋体" w:cs="宋体"/>
                <w:color w:val="000000"/>
                <w:sz w:val="18"/>
                <w:szCs w:val="18"/>
                <w:highlight w:val="none"/>
              </w:rPr>
            </w:pPr>
          </w:p>
        </w:tc>
      </w:tr>
      <w:tr w14:paraId="132F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2B0AD08B">
            <w:pPr>
              <w:numPr>
                <w:ilvl w:val="0"/>
                <w:numId w:val="0"/>
              </w:numPr>
              <w:spacing w:beforeLines="0" w:afterLines="0"/>
              <w:ind w:left="0" w:leftChars="0" w:firstLine="0" w:firstLine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10</w:t>
            </w:r>
          </w:p>
        </w:tc>
        <w:tc>
          <w:tcPr>
            <w:tcW w:w="2111" w:type="dxa"/>
            <w:vAlign w:val="center"/>
          </w:tcPr>
          <w:p w14:paraId="783EAB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准予迁入证明</w:t>
            </w:r>
          </w:p>
        </w:tc>
        <w:tc>
          <w:tcPr>
            <w:tcW w:w="1599" w:type="dxa"/>
            <w:vAlign w:val="center"/>
          </w:tcPr>
          <w:p w14:paraId="62187A83">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外省市人员落户</w:t>
            </w:r>
          </w:p>
        </w:tc>
        <w:tc>
          <w:tcPr>
            <w:tcW w:w="1995" w:type="dxa"/>
            <w:vMerge w:val="continue"/>
            <w:vAlign w:val="center"/>
          </w:tcPr>
          <w:p w14:paraId="0494CF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825" w:type="dxa"/>
            <w:vMerge w:val="continue"/>
            <w:vAlign w:val="center"/>
          </w:tcPr>
          <w:p w14:paraId="2D0145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24E15CD8">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迁入户口地</w:t>
            </w:r>
          </w:p>
          <w:p w14:paraId="4304797A">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管理部门</w:t>
            </w:r>
          </w:p>
        </w:tc>
        <w:tc>
          <w:tcPr>
            <w:tcW w:w="807" w:type="dxa"/>
            <w:vAlign w:val="center"/>
          </w:tcPr>
          <w:p w14:paraId="49411FB3">
            <w:pPr>
              <w:spacing w:beforeLines="0" w:afterLines="0"/>
              <w:jc w:val="center"/>
              <w:rPr>
                <w:rFonts w:hint="eastAsia" w:ascii="宋体" w:hAnsi="宋体" w:eastAsia="宋体" w:cs="宋体"/>
                <w:color w:val="000000"/>
                <w:sz w:val="18"/>
                <w:szCs w:val="18"/>
                <w:highlight w:val="none"/>
              </w:rPr>
            </w:pPr>
          </w:p>
        </w:tc>
      </w:tr>
      <w:tr w14:paraId="2355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E7AE233">
            <w:pPr>
              <w:numPr>
                <w:ilvl w:val="0"/>
                <w:numId w:val="0"/>
              </w:numPr>
              <w:spacing w:beforeLines="0" w:afterLines="0"/>
              <w:ind w:left="0" w:leftChars="0" w:firstLine="0" w:firstLine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11</w:t>
            </w:r>
          </w:p>
        </w:tc>
        <w:tc>
          <w:tcPr>
            <w:tcW w:w="2111" w:type="dxa"/>
            <w:vAlign w:val="center"/>
          </w:tcPr>
          <w:p w14:paraId="178D7A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相关关系证明</w:t>
            </w:r>
          </w:p>
        </w:tc>
        <w:tc>
          <w:tcPr>
            <w:tcW w:w="1599" w:type="dxa"/>
            <w:vAlign w:val="center"/>
          </w:tcPr>
          <w:p w14:paraId="253A268A">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姓名变更登记</w:t>
            </w:r>
          </w:p>
        </w:tc>
        <w:tc>
          <w:tcPr>
            <w:tcW w:w="1995" w:type="dxa"/>
            <w:vMerge w:val="restart"/>
            <w:vAlign w:val="center"/>
          </w:tcPr>
          <w:p w14:paraId="0D21EA12">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《户口登记条例》</w:t>
            </w:r>
          </w:p>
          <w:p w14:paraId="2A8377C1">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第十七条</w:t>
            </w:r>
          </w:p>
        </w:tc>
        <w:tc>
          <w:tcPr>
            <w:tcW w:w="825" w:type="dxa"/>
            <w:vMerge w:val="continue"/>
            <w:vAlign w:val="center"/>
          </w:tcPr>
          <w:p w14:paraId="078004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1D9BD986">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原户籍管理部门</w:t>
            </w:r>
          </w:p>
        </w:tc>
        <w:tc>
          <w:tcPr>
            <w:tcW w:w="807" w:type="dxa"/>
            <w:vAlign w:val="center"/>
          </w:tcPr>
          <w:p w14:paraId="51E81BEA">
            <w:pPr>
              <w:spacing w:beforeLines="0" w:afterLines="0"/>
              <w:jc w:val="center"/>
              <w:rPr>
                <w:rFonts w:hint="eastAsia" w:ascii="宋体" w:hAnsi="宋体" w:eastAsia="宋体" w:cs="宋体"/>
                <w:color w:val="000000"/>
                <w:sz w:val="18"/>
                <w:szCs w:val="18"/>
                <w:highlight w:val="none"/>
              </w:rPr>
            </w:pPr>
          </w:p>
        </w:tc>
      </w:tr>
      <w:tr w14:paraId="557A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046225C3">
            <w:pPr>
              <w:numPr>
                <w:ilvl w:val="0"/>
                <w:numId w:val="0"/>
              </w:numPr>
              <w:spacing w:beforeLines="0" w:afterLines="0"/>
              <w:ind w:left="0" w:leftChars="0" w:firstLine="0" w:firstLine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12</w:t>
            </w:r>
          </w:p>
        </w:tc>
        <w:tc>
          <w:tcPr>
            <w:tcW w:w="2111" w:type="dxa"/>
            <w:vAlign w:val="center"/>
          </w:tcPr>
          <w:p w14:paraId="31A7A4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民警出具调查证明</w:t>
            </w:r>
          </w:p>
        </w:tc>
        <w:tc>
          <w:tcPr>
            <w:tcW w:w="1599" w:type="dxa"/>
            <w:vMerge w:val="restart"/>
            <w:vAlign w:val="center"/>
          </w:tcPr>
          <w:p w14:paraId="6510123D">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未满18岁办理出生日期更正</w:t>
            </w:r>
          </w:p>
        </w:tc>
        <w:tc>
          <w:tcPr>
            <w:tcW w:w="1995" w:type="dxa"/>
            <w:vMerge w:val="continue"/>
            <w:vAlign w:val="center"/>
          </w:tcPr>
          <w:p w14:paraId="793D4B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825" w:type="dxa"/>
            <w:vMerge w:val="continue"/>
            <w:vAlign w:val="center"/>
          </w:tcPr>
          <w:p w14:paraId="51A91C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087610AB">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辖区派出所</w:t>
            </w:r>
          </w:p>
        </w:tc>
        <w:tc>
          <w:tcPr>
            <w:tcW w:w="807" w:type="dxa"/>
            <w:vAlign w:val="center"/>
          </w:tcPr>
          <w:p w14:paraId="3B053824">
            <w:pPr>
              <w:spacing w:beforeLines="0" w:afterLines="0"/>
              <w:jc w:val="center"/>
              <w:rPr>
                <w:rFonts w:hint="eastAsia" w:ascii="宋体" w:hAnsi="宋体" w:eastAsia="宋体" w:cs="宋体"/>
                <w:color w:val="000000"/>
                <w:sz w:val="18"/>
                <w:szCs w:val="18"/>
                <w:highlight w:val="none"/>
              </w:rPr>
            </w:pPr>
          </w:p>
        </w:tc>
      </w:tr>
      <w:tr w14:paraId="35E7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5AD22F55">
            <w:pPr>
              <w:numPr>
                <w:ilvl w:val="0"/>
                <w:numId w:val="0"/>
              </w:numPr>
              <w:spacing w:beforeLines="0" w:afterLines="0"/>
              <w:ind w:left="0" w:leftChars="0" w:firstLine="0" w:firstLine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13</w:t>
            </w:r>
          </w:p>
        </w:tc>
        <w:tc>
          <w:tcPr>
            <w:tcW w:w="2111" w:type="dxa"/>
            <w:vAlign w:val="center"/>
          </w:tcPr>
          <w:p w14:paraId="3E14FF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在校学生证明</w:t>
            </w:r>
          </w:p>
        </w:tc>
        <w:tc>
          <w:tcPr>
            <w:tcW w:w="1599" w:type="dxa"/>
            <w:vMerge w:val="continue"/>
            <w:vAlign w:val="center"/>
          </w:tcPr>
          <w:p w14:paraId="6D4988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995" w:type="dxa"/>
            <w:vMerge w:val="continue"/>
            <w:vAlign w:val="center"/>
          </w:tcPr>
          <w:p w14:paraId="2C3BE0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825" w:type="dxa"/>
            <w:vMerge w:val="continue"/>
            <w:vAlign w:val="center"/>
          </w:tcPr>
          <w:p w14:paraId="19F05F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7268BE3A">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学校</w:t>
            </w:r>
          </w:p>
        </w:tc>
        <w:tc>
          <w:tcPr>
            <w:tcW w:w="807" w:type="dxa"/>
            <w:vAlign w:val="center"/>
          </w:tcPr>
          <w:p w14:paraId="5761A1C3">
            <w:pPr>
              <w:spacing w:beforeLines="0" w:afterLines="0"/>
              <w:jc w:val="center"/>
              <w:rPr>
                <w:rFonts w:hint="eastAsia" w:ascii="宋体" w:hAnsi="宋体" w:eastAsia="宋体" w:cs="宋体"/>
                <w:color w:val="000000"/>
                <w:sz w:val="18"/>
                <w:szCs w:val="18"/>
                <w:highlight w:val="none"/>
              </w:rPr>
            </w:pPr>
          </w:p>
        </w:tc>
      </w:tr>
      <w:tr w14:paraId="032E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0FF42998">
            <w:pPr>
              <w:numPr>
                <w:ilvl w:val="0"/>
                <w:numId w:val="0"/>
              </w:numPr>
              <w:spacing w:beforeLines="0" w:afterLines="0"/>
              <w:ind w:left="0" w:leftChars="0" w:firstLine="0" w:firstLine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14</w:t>
            </w:r>
          </w:p>
        </w:tc>
        <w:tc>
          <w:tcPr>
            <w:tcW w:w="2111" w:type="dxa"/>
            <w:vAlign w:val="center"/>
          </w:tcPr>
          <w:p w14:paraId="0DEC01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原始出生医学证明、原落户凭证《户口迁移证》、原户口簿、居民身份证、常住人口登记证明</w:t>
            </w:r>
          </w:p>
        </w:tc>
        <w:tc>
          <w:tcPr>
            <w:tcW w:w="1599" w:type="dxa"/>
            <w:vMerge w:val="restart"/>
            <w:vAlign w:val="center"/>
          </w:tcPr>
          <w:p w14:paraId="49ADC36D">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已满18岁办理出生日期更正</w:t>
            </w:r>
          </w:p>
        </w:tc>
        <w:tc>
          <w:tcPr>
            <w:tcW w:w="1995" w:type="dxa"/>
            <w:vMerge w:val="continue"/>
            <w:vAlign w:val="center"/>
          </w:tcPr>
          <w:p w14:paraId="2E74EA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825" w:type="dxa"/>
            <w:vMerge w:val="continue"/>
            <w:vAlign w:val="center"/>
          </w:tcPr>
          <w:p w14:paraId="45770D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712E6131">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医疗卫生机构、</w:t>
            </w:r>
          </w:p>
          <w:p w14:paraId="0D1A2A50">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公安部门</w:t>
            </w:r>
          </w:p>
        </w:tc>
        <w:tc>
          <w:tcPr>
            <w:tcW w:w="807" w:type="dxa"/>
            <w:vAlign w:val="center"/>
          </w:tcPr>
          <w:p w14:paraId="6ADE9804">
            <w:pPr>
              <w:spacing w:beforeLines="0" w:afterLines="0"/>
              <w:jc w:val="center"/>
              <w:rPr>
                <w:rFonts w:hint="eastAsia" w:ascii="宋体" w:hAnsi="宋体" w:eastAsia="宋体" w:cs="宋体"/>
                <w:color w:val="000000"/>
                <w:sz w:val="18"/>
                <w:szCs w:val="18"/>
                <w:highlight w:val="none"/>
                <w:lang w:val="en-US" w:eastAsia="zh-CN"/>
              </w:rPr>
            </w:pPr>
          </w:p>
        </w:tc>
      </w:tr>
      <w:tr w14:paraId="3C45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31BFE77D">
            <w:pPr>
              <w:numPr>
                <w:ilvl w:val="0"/>
                <w:numId w:val="0"/>
              </w:numPr>
              <w:spacing w:beforeLines="0" w:afterLines="0"/>
              <w:ind w:left="0" w:leftChars="0" w:firstLine="0" w:firstLine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15</w:t>
            </w:r>
          </w:p>
        </w:tc>
        <w:tc>
          <w:tcPr>
            <w:tcW w:w="2111" w:type="dxa"/>
            <w:vAlign w:val="center"/>
          </w:tcPr>
          <w:p w14:paraId="1AC9BF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职工档案、单位人事劳资部门出具证明</w:t>
            </w:r>
          </w:p>
        </w:tc>
        <w:tc>
          <w:tcPr>
            <w:tcW w:w="1599" w:type="dxa"/>
            <w:vMerge w:val="continue"/>
            <w:vAlign w:val="center"/>
          </w:tcPr>
          <w:p w14:paraId="5CEFB7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995" w:type="dxa"/>
            <w:vMerge w:val="continue"/>
            <w:vAlign w:val="center"/>
          </w:tcPr>
          <w:p w14:paraId="33032E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825" w:type="dxa"/>
            <w:vMerge w:val="continue"/>
            <w:vAlign w:val="center"/>
          </w:tcPr>
          <w:p w14:paraId="044446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4C7DF829">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申请人单位</w:t>
            </w:r>
          </w:p>
        </w:tc>
        <w:tc>
          <w:tcPr>
            <w:tcW w:w="807" w:type="dxa"/>
            <w:vAlign w:val="center"/>
          </w:tcPr>
          <w:p w14:paraId="3BF3C42F">
            <w:pPr>
              <w:spacing w:beforeLines="0" w:afterLines="0"/>
              <w:jc w:val="center"/>
              <w:rPr>
                <w:rFonts w:hint="eastAsia" w:ascii="宋体" w:hAnsi="宋体" w:eastAsia="宋体" w:cs="宋体"/>
                <w:color w:val="000000"/>
                <w:sz w:val="18"/>
                <w:szCs w:val="18"/>
                <w:highlight w:val="none"/>
              </w:rPr>
            </w:pPr>
          </w:p>
        </w:tc>
      </w:tr>
      <w:tr w14:paraId="2FD5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1E1745D9">
            <w:pPr>
              <w:numPr>
                <w:ilvl w:val="0"/>
                <w:numId w:val="0"/>
              </w:numPr>
              <w:spacing w:beforeLines="0" w:afterLines="0"/>
              <w:ind w:left="0" w:leftChars="0" w:firstLine="0" w:firstLineChars="0"/>
              <w:jc w:val="center"/>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16</w:t>
            </w:r>
          </w:p>
        </w:tc>
        <w:tc>
          <w:tcPr>
            <w:tcW w:w="2111" w:type="dxa"/>
            <w:vAlign w:val="center"/>
          </w:tcPr>
          <w:p w14:paraId="7EEA6D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大型群众性活动承办者资质、资格证明</w:t>
            </w:r>
          </w:p>
        </w:tc>
        <w:tc>
          <w:tcPr>
            <w:tcW w:w="1599" w:type="dxa"/>
            <w:vAlign w:val="center"/>
          </w:tcPr>
          <w:p w14:paraId="1972541F">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大型</w:t>
            </w:r>
            <w:r>
              <w:rPr>
                <w:rFonts w:hint="eastAsia" w:ascii="宋体" w:hAnsi="宋体" w:eastAsia="宋体" w:cs="宋体"/>
                <w:color w:val="000000"/>
                <w:sz w:val="18"/>
                <w:szCs w:val="18"/>
                <w:highlight w:val="none"/>
                <w:lang w:val="en-US" w:eastAsia="zh-CN"/>
              </w:rPr>
              <w:t>群众性活动安全许可</w:t>
            </w:r>
          </w:p>
        </w:tc>
        <w:tc>
          <w:tcPr>
            <w:tcW w:w="1995" w:type="dxa"/>
            <w:vAlign w:val="center"/>
          </w:tcPr>
          <w:p w14:paraId="6BAD0D65">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《大型群众性活动安全管理条例》第十三条</w:t>
            </w:r>
          </w:p>
        </w:tc>
        <w:tc>
          <w:tcPr>
            <w:tcW w:w="825" w:type="dxa"/>
            <w:vMerge w:val="continue"/>
            <w:vAlign w:val="center"/>
          </w:tcPr>
          <w:p w14:paraId="203D8E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370FE29B">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申请人</w:t>
            </w:r>
          </w:p>
        </w:tc>
        <w:tc>
          <w:tcPr>
            <w:tcW w:w="807" w:type="dxa"/>
            <w:vAlign w:val="center"/>
          </w:tcPr>
          <w:p w14:paraId="4FB45B4E">
            <w:pPr>
              <w:spacing w:beforeLines="0" w:afterLines="0"/>
              <w:jc w:val="center"/>
              <w:rPr>
                <w:rFonts w:hint="eastAsia" w:ascii="宋体" w:hAnsi="宋体" w:eastAsia="宋体" w:cs="宋体"/>
                <w:color w:val="000000"/>
                <w:sz w:val="18"/>
                <w:szCs w:val="18"/>
                <w:highlight w:val="none"/>
              </w:rPr>
            </w:pPr>
          </w:p>
        </w:tc>
      </w:tr>
      <w:tr w14:paraId="0EC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660F180">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20" w:lineRule="exact"/>
              <w:ind w:left="0" w:leftChars="0" w:firstLine="85" w:firstLineChars="0"/>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kern w:val="2"/>
                <w:sz w:val="18"/>
                <w:szCs w:val="18"/>
                <w:highlight w:val="none"/>
                <w:vertAlign w:val="baseline"/>
                <w:lang w:val="en-US" w:eastAsia="zh-CN" w:bidi="ar-SA"/>
              </w:rPr>
              <w:t>7</w:t>
            </w:r>
          </w:p>
        </w:tc>
        <w:tc>
          <w:tcPr>
            <w:tcW w:w="2111" w:type="dxa"/>
            <w:vAlign w:val="center"/>
          </w:tcPr>
          <w:p w14:paraId="63141D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房屋所有权人同意证明</w:t>
            </w:r>
          </w:p>
        </w:tc>
        <w:tc>
          <w:tcPr>
            <w:tcW w:w="1599" w:type="dxa"/>
            <w:vAlign w:val="center"/>
          </w:tcPr>
          <w:p w14:paraId="31BE32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迁入直系亲属家中落户</w:t>
            </w:r>
          </w:p>
        </w:tc>
        <w:tc>
          <w:tcPr>
            <w:tcW w:w="1995" w:type="dxa"/>
            <w:vAlign w:val="center"/>
          </w:tcPr>
          <w:p w14:paraId="63C0F973">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b w:val="0"/>
                <w:bCs w:val="0"/>
                <w:color w:val="000000"/>
                <w:sz w:val="18"/>
                <w:szCs w:val="18"/>
                <w:highlight w:val="none"/>
                <w:vertAlign w:val="baseline"/>
                <w:lang w:val="en-US" w:eastAsia="zh-CN"/>
              </w:rPr>
              <w:t>《内蒙古公安机关常住户口登记管理规范（试行）》（内公办〔2016〕264号）</w:t>
            </w:r>
          </w:p>
        </w:tc>
        <w:tc>
          <w:tcPr>
            <w:tcW w:w="825" w:type="dxa"/>
            <w:vMerge w:val="continue"/>
            <w:vAlign w:val="center"/>
          </w:tcPr>
          <w:p w14:paraId="31707EE5">
            <w:pPr>
              <w:spacing w:beforeLines="0" w:afterLines="0"/>
              <w:jc w:val="center"/>
              <w:rPr>
                <w:rFonts w:hint="eastAsia" w:ascii="宋体" w:hAnsi="宋体" w:eastAsia="宋体" w:cs="宋体"/>
                <w:color w:val="000000"/>
                <w:sz w:val="18"/>
                <w:szCs w:val="18"/>
                <w:highlight w:val="none"/>
                <w:lang w:val="en-US" w:eastAsia="zh-CN"/>
              </w:rPr>
            </w:pPr>
          </w:p>
        </w:tc>
        <w:tc>
          <w:tcPr>
            <w:tcW w:w="1680" w:type="dxa"/>
            <w:vAlign w:val="center"/>
          </w:tcPr>
          <w:p w14:paraId="2C679E36">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申请人</w:t>
            </w:r>
          </w:p>
        </w:tc>
        <w:tc>
          <w:tcPr>
            <w:tcW w:w="807" w:type="dxa"/>
            <w:vAlign w:val="center"/>
          </w:tcPr>
          <w:p w14:paraId="7FF6577D">
            <w:pPr>
              <w:spacing w:beforeLines="0" w:afterLines="0"/>
              <w:jc w:val="center"/>
              <w:rPr>
                <w:rFonts w:hint="eastAsia" w:ascii="宋体" w:hAnsi="宋体" w:eastAsia="宋体" w:cs="宋体"/>
                <w:color w:val="000000"/>
                <w:sz w:val="18"/>
                <w:szCs w:val="18"/>
                <w:highlight w:val="none"/>
                <w:lang w:val="en-US" w:eastAsia="zh-CN"/>
              </w:rPr>
            </w:pPr>
          </w:p>
        </w:tc>
      </w:tr>
      <w:tr w14:paraId="2600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0E90B29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85" w:leftChars="0"/>
              <w:jc w:val="both"/>
              <w:textAlignment w:val="auto"/>
              <w:rPr>
                <w:rFonts w:hint="default"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kern w:val="2"/>
                <w:sz w:val="18"/>
                <w:szCs w:val="18"/>
                <w:highlight w:val="none"/>
                <w:vertAlign w:val="baseline"/>
                <w:lang w:val="en-US" w:eastAsia="zh-CN" w:bidi="ar-SA"/>
              </w:rPr>
              <w:t>18</w:t>
            </w:r>
          </w:p>
        </w:tc>
        <w:tc>
          <w:tcPr>
            <w:tcW w:w="2111" w:type="dxa"/>
            <w:vAlign w:val="center"/>
          </w:tcPr>
          <w:p w14:paraId="582D89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资金信用证明</w:t>
            </w:r>
          </w:p>
        </w:tc>
        <w:tc>
          <w:tcPr>
            <w:tcW w:w="1599" w:type="dxa"/>
            <w:vAlign w:val="center"/>
          </w:tcPr>
          <w:p w14:paraId="1D07CBD7">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b w:val="0"/>
                <w:bCs w:val="0"/>
                <w:color w:val="000000"/>
                <w:sz w:val="18"/>
                <w:szCs w:val="18"/>
                <w:highlight w:val="none"/>
                <w:vertAlign w:val="baseline"/>
                <w:lang w:val="en-US" w:eastAsia="zh-CN"/>
              </w:rPr>
              <w:t>互联网营业场所设立申请</w:t>
            </w:r>
          </w:p>
        </w:tc>
        <w:tc>
          <w:tcPr>
            <w:tcW w:w="1995" w:type="dxa"/>
            <w:vAlign w:val="center"/>
          </w:tcPr>
          <w:p w14:paraId="4EE0B1BF">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b w:val="0"/>
                <w:bCs w:val="0"/>
                <w:color w:val="000000"/>
                <w:sz w:val="18"/>
                <w:szCs w:val="18"/>
                <w:highlight w:val="none"/>
                <w:vertAlign w:val="baseline"/>
                <w:lang w:val="en-US" w:eastAsia="zh-CN"/>
              </w:rPr>
              <w:t>《互联网上网服务营业场所管理条例》第十条</w:t>
            </w:r>
          </w:p>
        </w:tc>
        <w:tc>
          <w:tcPr>
            <w:tcW w:w="825" w:type="dxa"/>
            <w:vMerge w:val="continue"/>
            <w:vAlign w:val="center"/>
          </w:tcPr>
          <w:p w14:paraId="4D3D0364">
            <w:pPr>
              <w:spacing w:beforeLines="0" w:afterLines="0"/>
              <w:jc w:val="center"/>
              <w:rPr>
                <w:rFonts w:hint="eastAsia" w:ascii="宋体" w:hAnsi="宋体" w:eastAsia="宋体" w:cs="宋体"/>
                <w:color w:val="000000"/>
                <w:sz w:val="18"/>
                <w:szCs w:val="18"/>
                <w:highlight w:val="none"/>
                <w:lang w:val="en-US" w:eastAsia="zh-CN"/>
              </w:rPr>
            </w:pPr>
          </w:p>
        </w:tc>
        <w:tc>
          <w:tcPr>
            <w:tcW w:w="1680" w:type="dxa"/>
            <w:vAlign w:val="center"/>
          </w:tcPr>
          <w:p w14:paraId="09DCF5FE">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申请人</w:t>
            </w:r>
          </w:p>
        </w:tc>
        <w:tc>
          <w:tcPr>
            <w:tcW w:w="807" w:type="dxa"/>
            <w:vAlign w:val="center"/>
          </w:tcPr>
          <w:p w14:paraId="51B2D560">
            <w:pPr>
              <w:spacing w:beforeLines="0" w:afterLines="0"/>
              <w:jc w:val="center"/>
              <w:rPr>
                <w:rFonts w:hint="eastAsia" w:ascii="宋体" w:hAnsi="宋体" w:eastAsia="宋体" w:cs="宋体"/>
                <w:color w:val="000000"/>
                <w:sz w:val="18"/>
                <w:szCs w:val="18"/>
                <w:highlight w:val="none"/>
                <w:lang w:val="en-US" w:eastAsia="zh-CN"/>
              </w:rPr>
            </w:pPr>
          </w:p>
        </w:tc>
      </w:tr>
      <w:tr w14:paraId="797D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8D84412">
            <w:pPr>
              <w:numPr>
                <w:ilvl w:val="0"/>
                <w:numId w:val="0"/>
              </w:numPr>
              <w:spacing w:beforeLines="0" w:afterLines="0"/>
              <w:ind w:left="0" w:leftChars="0" w:firstLine="0" w:firstLineChars="0"/>
              <w:jc w:val="center"/>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19</w:t>
            </w:r>
          </w:p>
        </w:tc>
        <w:tc>
          <w:tcPr>
            <w:tcW w:w="2111" w:type="dxa"/>
            <w:vAlign w:val="center"/>
          </w:tcPr>
          <w:p w14:paraId="10C48B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与用人单位存在劳动关系（包括事实劳动关系）</w:t>
            </w:r>
          </w:p>
          <w:p w14:paraId="4ABBFF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的证明</w:t>
            </w:r>
          </w:p>
        </w:tc>
        <w:tc>
          <w:tcPr>
            <w:tcW w:w="1599" w:type="dxa"/>
            <w:vAlign w:val="center"/>
          </w:tcPr>
          <w:p w14:paraId="1403E91D">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工伤认定</w:t>
            </w:r>
          </w:p>
        </w:tc>
        <w:tc>
          <w:tcPr>
            <w:tcW w:w="1995" w:type="dxa"/>
            <w:vAlign w:val="center"/>
          </w:tcPr>
          <w:p w14:paraId="121EB00C">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《工伤保险条例》第十八条</w:t>
            </w:r>
          </w:p>
        </w:tc>
        <w:tc>
          <w:tcPr>
            <w:tcW w:w="825" w:type="dxa"/>
            <w:vMerge w:val="restart"/>
            <w:vAlign w:val="center"/>
          </w:tcPr>
          <w:p w14:paraId="5DCF6DAA">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社</w:t>
            </w:r>
          </w:p>
          <w:p w14:paraId="3CBA7F13">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会</w:t>
            </w:r>
          </w:p>
          <w:p w14:paraId="4C4F816C">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事</w:t>
            </w:r>
          </w:p>
          <w:p w14:paraId="6654A3D7">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务</w:t>
            </w:r>
          </w:p>
          <w:p w14:paraId="55D3B8D1">
            <w:pPr>
              <w:spacing w:beforeLines="0" w:afterLines="0"/>
              <w:jc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color w:val="000000"/>
                <w:sz w:val="18"/>
                <w:szCs w:val="18"/>
                <w:highlight w:val="none"/>
                <w:lang w:val="en-US" w:eastAsia="zh-CN"/>
              </w:rPr>
              <w:t>局</w:t>
            </w:r>
          </w:p>
        </w:tc>
        <w:tc>
          <w:tcPr>
            <w:tcW w:w="1680" w:type="dxa"/>
            <w:vAlign w:val="center"/>
          </w:tcPr>
          <w:p w14:paraId="24F04A0B">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用人单位</w:t>
            </w:r>
          </w:p>
        </w:tc>
        <w:tc>
          <w:tcPr>
            <w:tcW w:w="807" w:type="dxa"/>
            <w:vAlign w:val="center"/>
          </w:tcPr>
          <w:p w14:paraId="34736C46">
            <w:pPr>
              <w:spacing w:beforeLines="0" w:afterLines="0"/>
              <w:jc w:val="center"/>
              <w:rPr>
                <w:rFonts w:hint="eastAsia" w:ascii="宋体" w:hAnsi="宋体" w:eastAsia="宋体" w:cs="宋体"/>
                <w:color w:val="000000"/>
                <w:sz w:val="18"/>
                <w:szCs w:val="18"/>
                <w:highlight w:val="none"/>
              </w:rPr>
            </w:pPr>
          </w:p>
        </w:tc>
      </w:tr>
      <w:tr w14:paraId="4A24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19E3667A">
            <w:pPr>
              <w:numPr>
                <w:ilvl w:val="0"/>
                <w:numId w:val="0"/>
              </w:numPr>
              <w:spacing w:beforeLines="0" w:afterLines="0"/>
              <w:ind w:left="0" w:leftChars="0" w:firstLine="0" w:firstLineChars="0"/>
              <w:jc w:val="center"/>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20</w:t>
            </w:r>
          </w:p>
        </w:tc>
        <w:tc>
          <w:tcPr>
            <w:tcW w:w="2111" w:type="dxa"/>
            <w:vAlign w:val="center"/>
          </w:tcPr>
          <w:p w14:paraId="4748C3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身份证变号证明</w:t>
            </w:r>
          </w:p>
        </w:tc>
        <w:tc>
          <w:tcPr>
            <w:tcW w:w="1599" w:type="dxa"/>
            <w:vAlign w:val="center"/>
          </w:tcPr>
          <w:p w14:paraId="530C9486">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个人基本信息变更</w:t>
            </w:r>
          </w:p>
        </w:tc>
        <w:tc>
          <w:tcPr>
            <w:tcW w:w="1995" w:type="dxa"/>
            <w:vAlign w:val="center"/>
          </w:tcPr>
          <w:p w14:paraId="7D663DB5">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《户口登记条例》第</w:t>
            </w:r>
            <w:r>
              <w:rPr>
                <w:rFonts w:hint="eastAsia" w:ascii="宋体" w:hAnsi="宋体" w:eastAsia="宋体" w:cs="宋体"/>
                <w:color w:val="000000"/>
                <w:sz w:val="18"/>
                <w:szCs w:val="18"/>
                <w:highlight w:val="none"/>
                <w:lang w:val="en-US" w:eastAsia="zh-CN"/>
              </w:rPr>
              <w:t>十七</w:t>
            </w:r>
            <w:r>
              <w:rPr>
                <w:rFonts w:hint="eastAsia" w:ascii="宋体" w:hAnsi="宋体" w:eastAsia="宋体" w:cs="宋体"/>
                <w:color w:val="000000"/>
                <w:sz w:val="18"/>
                <w:szCs w:val="18"/>
                <w:highlight w:val="none"/>
              </w:rPr>
              <w:t>条</w:t>
            </w:r>
          </w:p>
        </w:tc>
        <w:tc>
          <w:tcPr>
            <w:tcW w:w="825" w:type="dxa"/>
            <w:vMerge w:val="continue"/>
            <w:vAlign w:val="center"/>
          </w:tcPr>
          <w:p w14:paraId="1A587B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6C1C9B2C">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公安机关户籍</w:t>
            </w:r>
          </w:p>
          <w:p w14:paraId="3FA1644F">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管理部门</w:t>
            </w:r>
          </w:p>
        </w:tc>
        <w:tc>
          <w:tcPr>
            <w:tcW w:w="807" w:type="dxa"/>
            <w:vAlign w:val="center"/>
          </w:tcPr>
          <w:p w14:paraId="31786650">
            <w:pPr>
              <w:spacing w:beforeLines="0" w:afterLines="0"/>
              <w:jc w:val="center"/>
              <w:rPr>
                <w:rFonts w:hint="eastAsia" w:ascii="宋体" w:hAnsi="宋体" w:eastAsia="宋体" w:cs="宋体"/>
                <w:color w:val="000000"/>
                <w:sz w:val="18"/>
                <w:szCs w:val="18"/>
                <w:highlight w:val="none"/>
              </w:rPr>
            </w:pPr>
          </w:p>
        </w:tc>
      </w:tr>
      <w:tr w14:paraId="712D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3D28036C">
            <w:pPr>
              <w:numPr>
                <w:ilvl w:val="0"/>
                <w:numId w:val="0"/>
              </w:numPr>
              <w:spacing w:beforeLines="0" w:afterLines="0"/>
              <w:ind w:left="0" w:leftChars="0" w:firstLine="0" w:firstLineChars="0"/>
              <w:jc w:val="center"/>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21</w:t>
            </w:r>
          </w:p>
        </w:tc>
        <w:tc>
          <w:tcPr>
            <w:tcW w:w="2111" w:type="dxa"/>
            <w:vMerge w:val="restart"/>
            <w:vAlign w:val="center"/>
          </w:tcPr>
          <w:p w14:paraId="259AAC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场所使用权证明</w:t>
            </w:r>
          </w:p>
        </w:tc>
        <w:tc>
          <w:tcPr>
            <w:tcW w:w="1599" w:type="dxa"/>
            <w:vAlign w:val="center"/>
          </w:tcPr>
          <w:p w14:paraId="7CE0DB72">
            <w:pPr>
              <w:spacing w:beforeLines="0" w:afterLine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体育类民办非企业单位申请成立</w:t>
            </w:r>
            <w:r>
              <w:rPr>
                <w:rFonts w:hint="eastAsia" w:ascii="宋体" w:hAnsi="宋体" w:eastAsia="宋体" w:cs="宋体"/>
                <w:color w:val="auto"/>
                <w:sz w:val="18"/>
                <w:szCs w:val="18"/>
                <w:highlight w:val="none"/>
                <w:lang w:val="en-US" w:eastAsia="zh-CN"/>
              </w:rPr>
              <w:t>和变更</w:t>
            </w:r>
          </w:p>
        </w:tc>
        <w:tc>
          <w:tcPr>
            <w:tcW w:w="1995" w:type="dxa"/>
            <w:vAlign w:val="center"/>
          </w:tcPr>
          <w:p w14:paraId="378221AF">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《体育类民办非企业单位登记审查与管理暂行办法》（国家体育总局、民政部令</w:t>
            </w:r>
          </w:p>
          <w:p w14:paraId="52B695E4">
            <w:pPr>
              <w:spacing w:beforeLines="0" w:afterLine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第5号）第七条</w:t>
            </w:r>
          </w:p>
        </w:tc>
        <w:tc>
          <w:tcPr>
            <w:tcW w:w="825" w:type="dxa"/>
            <w:vMerge w:val="continue"/>
            <w:vAlign w:val="center"/>
          </w:tcPr>
          <w:p w14:paraId="6BC01B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4700CEBC">
            <w:pPr>
              <w:spacing w:beforeLines="0" w:afterLine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申请人、房屋、</w:t>
            </w:r>
          </w:p>
          <w:p w14:paraId="3B104786">
            <w:pPr>
              <w:spacing w:beforeLines="0" w:afterLines="0"/>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场地管理部门</w:t>
            </w:r>
          </w:p>
        </w:tc>
        <w:tc>
          <w:tcPr>
            <w:tcW w:w="807" w:type="dxa"/>
            <w:vAlign w:val="center"/>
          </w:tcPr>
          <w:p w14:paraId="14F1AAAD">
            <w:pPr>
              <w:spacing w:beforeLines="0" w:afterLines="0"/>
              <w:jc w:val="center"/>
              <w:rPr>
                <w:rFonts w:hint="eastAsia" w:ascii="宋体" w:hAnsi="宋体" w:eastAsia="宋体" w:cs="宋体"/>
                <w:sz w:val="18"/>
                <w:szCs w:val="18"/>
                <w:highlight w:val="none"/>
              </w:rPr>
            </w:pPr>
          </w:p>
        </w:tc>
      </w:tr>
      <w:tr w14:paraId="2579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3055A9C">
            <w:pPr>
              <w:numPr>
                <w:ilvl w:val="0"/>
                <w:numId w:val="0"/>
              </w:numPr>
              <w:spacing w:beforeLines="0" w:afterLines="0"/>
              <w:ind w:left="0" w:leftChars="0" w:firstLine="0" w:firstLineChars="0"/>
              <w:jc w:val="center"/>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22</w:t>
            </w:r>
          </w:p>
        </w:tc>
        <w:tc>
          <w:tcPr>
            <w:tcW w:w="2111" w:type="dxa"/>
            <w:vMerge w:val="continue"/>
            <w:vAlign w:val="center"/>
          </w:tcPr>
          <w:p w14:paraId="74E1B1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599" w:type="dxa"/>
            <w:vAlign w:val="center"/>
          </w:tcPr>
          <w:p w14:paraId="090D5C3E">
            <w:pPr>
              <w:spacing w:beforeLines="0" w:afterLine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体育社会团体申请成立和变更</w:t>
            </w:r>
          </w:p>
        </w:tc>
        <w:tc>
          <w:tcPr>
            <w:tcW w:w="1995" w:type="dxa"/>
            <w:vAlign w:val="center"/>
          </w:tcPr>
          <w:p w14:paraId="221785BE">
            <w:pPr>
              <w:spacing w:beforeLines="0" w:afterLine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HYPERLINK "http://www.waizi.org.cn/law/9887.html"</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社会团体登记管理条例</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t>》第十一条</w:t>
            </w:r>
          </w:p>
        </w:tc>
        <w:tc>
          <w:tcPr>
            <w:tcW w:w="825" w:type="dxa"/>
            <w:vMerge w:val="continue"/>
            <w:vAlign w:val="center"/>
          </w:tcPr>
          <w:p w14:paraId="2DED19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249AD9B1">
            <w:pPr>
              <w:spacing w:beforeLines="0" w:afterLine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申请人或房屋</w:t>
            </w:r>
          </w:p>
          <w:p w14:paraId="47407454">
            <w:pPr>
              <w:spacing w:beforeLines="0" w:afterLines="0"/>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管理人</w:t>
            </w:r>
          </w:p>
        </w:tc>
        <w:tc>
          <w:tcPr>
            <w:tcW w:w="807" w:type="dxa"/>
            <w:vAlign w:val="center"/>
          </w:tcPr>
          <w:p w14:paraId="21E7A0DA">
            <w:pPr>
              <w:spacing w:beforeLines="0" w:afterLines="0"/>
              <w:jc w:val="center"/>
              <w:rPr>
                <w:rFonts w:hint="eastAsia" w:ascii="宋体" w:hAnsi="宋体" w:eastAsia="宋体" w:cs="宋体"/>
                <w:sz w:val="18"/>
                <w:szCs w:val="18"/>
                <w:highlight w:val="none"/>
              </w:rPr>
            </w:pPr>
          </w:p>
        </w:tc>
      </w:tr>
      <w:tr w14:paraId="6EFF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3FFEFB2D">
            <w:pPr>
              <w:numPr>
                <w:ilvl w:val="0"/>
                <w:numId w:val="0"/>
              </w:numPr>
              <w:spacing w:beforeLines="0" w:afterLines="0"/>
              <w:ind w:left="0" w:leftChars="0" w:firstLine="0" w:firstLineChars="0"/>
              <w:jc w:val="center"/>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23</w:t>
            </w:r>
          </w:p>
        </w:tc>
        <w:tc>
          <w:tcPr>
            <w:tcW w:w="2111" w:type="dxa"/>
            <w:vAlign w:val="center"/>
          </w:tcPr>
          <w:p w14:paraId="674302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举办体育竞赛经费来源</w:t>
            </w:r>
          </w:p>
          <w:p w14:paraId="2A3637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证明材料</w:t>
            </w:r>
          </w:p>
        </w:tc>
        <w:tc>
          <w:tcPr>
            <w:tcW w:w="1599" w:type="dxa"/>
            <w:vAlign w:val="center"/>
          </w:tcPr>
          <w:p w14:paraId="2A302A08">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举办</w:t>
            </w:r>
            <w:r>
              <w:rPr>
                <w:rFonts w:hint="eastAsia" w:ascii="宋体" w:hAnsi="宋体" w:eastAsia="宋体" w:cs="宋体"/>
                <w:color w:val="auto"/>
                <w:sz w:val="18"/>
                <w:szCs w:val="18"/>
                <w:highlight w:val="none"/>
              </w:rPr>
              <w:t>体育竞赛活动的许可</w:t>
            </w:r>
          </w:p>
          <w:p w14:paraId="0478AB1A">
            <w:pPr>
              <w:spacing w:beforeLines="0" w:afterLine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全县性</w:t>
            </w:r>
            <w:r>
              <w:rPr>
                <w:rFonts w:hint="eastAsia" w:ascii="宋体" w:hAnsi="宋体" w:eastAsia="宋体" w:cs="宋体"/>
                <w:color w:val="auto"/>
                <w:sz w:val="18"/>
                <w:szCs w:val="18"/>
                <w:highlight w:val="none"/>
                <w:lang w:eastAsia="zh-CN"/>
              </w:rPr>
              <w:t>）</w:t>
            </w:r>
          </w:p>
        </w:tc>
        <w:tc>
          <w:tcPr>
            <w:tcW w:w="1995" w:type="dxa"/>
            <w:vAlign w:val="center"/>
          </w:tcPr>
          <w:p w14:paraId="18908138">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《内蒙古自治区体育竞赛管理办法》</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自治区政府令第182号</w:t>
            </w:r>
            <w:r>
              <w:rPr>
                <w:rFonts w:hint="eastAsia" w:ascii="宋体" w:hAnsi="宋体" w:eastAsia="宋体" w:cs="宋体"/>
                <w:color w:val="auto"/>
                <w:sz w:val="18"/>
                <w:szCs w:val="18"/>
                <w:highlight w:val="none"/>
                <w:lang w:eastAsia="zh-CN"/>
              </w:rPr>
              <w:t>）</w:t>
            </w:r>
          </w:p>
          <w:p w14:paraId="25720044">
            <w:pPr>
              <w:spacing w:beforeLines="0" w:afterLine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第三十五条</w:t>
            </w:r>
          </w:p>
        </w:tc>
        <w:tc>
          <w:tcPr>
            <w:tcW w:w="825" w:type="dxa"/>
            <w:vMerge w:val="continue"/>
            <w:vAlign w:val="center"/>
          </w:tcPr>
          <w:p w14:paraId="3DA6F3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4A7BC739">
            <w:pPr>
              <w:spacing w:beforeLines="0" w:afterLines="0"/>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申请人</w:t>
            </w:r>
          </w:p>
        </w:tc>
        <w:tc>
          <w:tcPr>
            <w:tcW w:w="807" w:type="dxa"/>
            <w:vAlign w:val="center"/>
          </w:tcPr>
          <w:p w14:paraId="51E5149B">
            <w:pPr>
              <w:spacing w:beforeLines="0" w:afterLines="0"/>
              <w:jc w:val="center"/>
              <w:rPr>
                <w:rFonts w:hint="eastAsia" w:ascii="宋体" w:hAnsi="宋体" w:eastAsia="宋体" w:cs="宋体"/>
                <w:sz w:val="18"/>
                <w:szCs w:val="18"/>
                <w:highlight w:val="none"/>
              </w:rPr>
            </w:pPr>
          </w:p>
        </w:tc>
      </w:tr>
      <w:tr w14:paraId="1A17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5FDF81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24</w:t>
            </w:r>
          </w:p>
        </w:tc>
        <w:tc>
          <w:tcPr>
            <w:tcW w:w="2111" w:type="dxa"/>
            <w:vAlign w:val="center"/>
          </w:tcPr>
          <w:p w14:paraId="079227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资金信用、</w:t>
            </w:r>
            <w:r>
              <w:rPr>
                <w:rFonts w:hint="eastAsia" w:ascii="宋体" w:hAnsi="宋体" w:eastAsia="宋体" w:cs="宋体"/>
                <w:b w:val="0"/>
                <w:bCs w:val="0"/>
                <w:color w:val="000000"/>
                <w:sz w:val="18"/>
                <w:szCs w:val="18"/>
                <w:highlight w:val="none"/>
                <w:vertAlign w:val="baseline"/>
                <w:lang w:val="en-US" w:eastAsia="zh-CN"/>
              </w:rPr>
              <w:t>资信</w:t>
            </w:r>
            <w:r>
              <w:rPr>
                <w:rFonts w:hint="eastAsia" w:ascii="宋体" w:hAnsi="宋体" w:eastAsia="宋体" w:cs="宋体"/>
                <w:b w:val="0"/>
                <w:bCs w:val="0"/>
                <w:color w:val="000000"/>
                <w:sz w:val="18"/>
                <w:szCs w:val="18"/>
                <w:highlight w:val="none"/>
                <w:vertAlign w:val="baseline"/>
                <w:lang w:eastAsia="zh-CN"/>
              </w:rPr>
              <w:t>证明</w:t>
            </w:r>
          </w:p>
        </w:tc>
        <w:tc>
          <w:tcPr>
            <w:tcW w:w="1599" w:type="dxa"/>
            <w:vAlign w:val="center"/>
          </w:tcPr>
          <w:p w14:paraId="13147B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非公司企业法人设立</w:t>
            </w:r>
          </w:p>
        </w:tc>
        <w:tc>
          <w:tcPr>
            <w:tcW w:w="1995" w:type="dxa"/>
            <w:vAlign w:val="center"/>
          </w:tcPr>
          <w:p w14:paraId="25748F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《企业法人登记管理条例》第十五条</w:t>
            </w:r>
          </w:p>
        </w:tc>
        <w:tc>
          <w:tcPr>
            <w:tcW w:w="825" w:type="dxa"/>
            <w:vMerge w:val="restart"/>
            <w:vAlign w:val="center"/>
          </w:tcPr>
          <w:p w14:paraId="475543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食</w:t>
            </w:r>
          </w:p>
          <w:p w14:paraId="2C661B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药</w:t>
            </w:r>
          </w:p>
          <w:p w14:paraId="746F42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工</w:t>
            </w:r>
          </w:p>
          <w:p w14:paraId="4A6ACF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商</w:t>
            </w:r>
          </w:p>
          <w:p w14:paraId="376BAC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局</w:t>
            </w:r>
          </w:p>
        </w:tc>
        <w:tc>
          <w:tcPr>
            <w:tcW w:w="1680" w:type="dxa"/>
            <w:vAlign w:val="center"/>
          </w:tcPr>
          <w:p w14:paraId="1D3335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金融机构</w:t>
            </w:r>
          </w:p>
        </w:tc>
        <w:tc>
          <w:tcPr>
            <w:tcW w:w="807" w:type="dxa"/>
            <w:vAlign w:val="center"/>
          </w:tcPr>
          <w:p w14:paraId="77E110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4F3F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5FAEFC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25</w:t>
            </w:r>
          </w:p>
        </w:tc>
        <w:tc>
          <w:tcPr>
            <w:tcW w:w="2111" w:type="dxa"/>
            <w:vAlign w:val="center"/>
          </w:tcPr>
          <w:p w14:paraId="2CFD4B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原主管部门审查同意</w:t>
            </w:r>
          </w:p>
          <w:p w14:paraId="00B4B2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的证明文件</w:t>
            </w:r>
          </w:p>
        </w:tc>
        <w:tc>
          <w:tcPr>
            <w:tcW w:w="1599" w:type="dxa"/>
            <w:vAlign w:val="center"/>
          </w:tcPr>
          <w:p w14:paraId="40928E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非公司企业法人变更</w:t>
            </w:r>
          </w:p>
        </w:tc>
        <w:tc>
          <w:tcPr>
            <w:tcW w:w="1995" w:type="dxa"/>
            <w:vAlign w:val="center"/>
          </w:tcPr>
          <w:p w14:paraId="74C933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《企业法人登记管理条例施行细则》</w:t>
            </w:r>
          </w:p>
          <w:p w14:paraId="351B07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第三十六条</w:t>
            </w:r>
          </w:p>
        </w:tc>
        <w:tc>
          <w:tcPr>
            <w:tcW w:w="825" w:type="dxa"/>
            <w:vMerge w:val="continue"/>
            <w:vAlign w:val="center"/>
          </w:tcPr>
          <w:p w14:paraId="6942FB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5705A4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原主管部门</w:t>
            </w:r>
          </w:p>
        </w:tc>
        <w:tc>
          <w:tcPr>
            <w:tcW w:w="807" w:type="dxa"/>
            <w:vAlign w:val="center"/>
          </w:tcPr>
          <w:p w14:paraId="72C2D6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36E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D2C97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26</w:t>
            </w:r>
          </w:p>
        </w:tc>
        <w:tc>
          <w:tcPr>
            <w:tcW w:w="2111" w:type="dxa"/>
            <w:vAlign w:val="center"/>
          </w:tcPr>
          <w:p w14:paraId="49B151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负责清理债权债务的文件或者清理债务完结的证明</w:t>
            </w:r>
          </w:p>
        </w:tc>
        <w:tc>
          <w:tcPr>
            <w:tcW w:w="1599" w:type="dxa"/>
            <w:vAlign w:val="center"/>
          </w:tcPr>
          <w:p w14:paraId="48E61F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非公司企业法人注销</w:t>
            </w:r>
          </w:p>
        </w:tc>
        <w:tc>
          <w:tcPr>
            <w:tcW w:w="1995" w:type="dxa"/>
            <w:vAlign w:val="center"/>
          </w:tcPr>
          <w:p w14:paraId="287185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《企业法人登记管理条例》第二十一条</w:t>
            </w:r>
          </w:p>
        </w:tc>
        <w:tc>
          <w:tcPr>
            <w:tcW w:w="825" w:type="dxa"/>
            <w:vMerge w:val="continue"/>
            <w:vAlign w:val="center"/>
          </w:tcPr>
          <w:p w14:paraId="6BDA39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04129A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主管部门或者</w:t>
            </w:r>
          </w:p>
          <w:p w14:paraId="7FBFD4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清算组织</w:t>
            </w:r>
          </w:p>
        </w:tc>
        <w:tc>
          <w:tcPr>
            <w:tcW w:w="807" w:type="dxa"/>
            <w:vAlign w:val="center"/>
          </w:tcPr>
          <w:p w14:paraId="51BE13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5016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1E4E85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27</w:t>
            </w:r>
          </w:p>
        </w:tc>
        <w:tc>
          <w:tcPr>
            <w:tcW w:w="2111" w:type="dxa"/>
            <w:vAlign w:val="center"/>
          </w:tcPr>
          <w:p w14:paraId="4FF6A8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拖拉机和联合收割机驾驶人身体条件证明</w:t>
            </w:r>
          </w:p>
        </w:tc>
        <w:tc>
          <w:tcPr>
            <w:tcW w:w="1599" w:type="dxa"/>
            <w:vAlign w:val="center"/>
          </w:tcPr>
          <w:p w14:paraId="7459E5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申请办理拖拉机和联合收割机驾驶证</w:t>
            </w:r>
          </w:p>
        </w:tc>
        <w:tc>
          <w:tcPr>
            <w:tcW w:w="1995" w:type="dxa"/>
            <w:vAlign w:val="center"/>
          </w:tcPr>
          <w:p w14:paraId="694248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《拖拉机和联合收割机驾驶证管理规定》</w:t>
            </w:r>
          </w:p>
        </w:tc>
        <w:tc>
          <w:tcPr>
            <w:tcW w:w="825" w:type="dxa"/>
            <w:vMerge w:val="restart"/>
            <w:vAlign w:val="center"/>
          </w:tcPr>
          <w:p w14:paraId="5B989F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农</w:t>
            </w:r>
          </w:p>
          <w:p w14:paraId="13A5C0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牧</w:t>
            </w:r>
          </w:p>
          <w:p w14:paraId="7E3406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林</w:t>
            </w:r>
          </w:p>
          <w:p w14:paraId="6EB8A5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水</w:t>
            </w:r>
          </w:p>
          <w:p w14:paraId="241AF1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局</w:t>
            </w:r>
          </w:p>
        </w:tc>
        <w:tc>
          <w:tcPr>
            <w:tcW w:w="1680" w:type="dxa"/>
            <w:vAlign w:val="center"/>
          </w:tcPr>
          <w:p w14:paraId="6904CD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乡镇或社区以上</w:t>
            </w:r>
          </w:p>
          <w:p w14:paraId="0E2BFD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医疗机构</w:t>
            </w:r>
          </w:p>
        </w:tc>
        <w:tc>
          <w:tcPr>
            <w:tcW w:w="807" w:type="dxa"/>
            <w:vAlign w:val="center"/>
          </w:tcPr>
          <w:p w14:paraId="3D6283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1CFE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90400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28</w:t>
            </w:r>
          </w:p>
        </w:tc>
        <w:tc>
          <w:tcPr>
            <w:tcW w:w="2111" w:type="dxa"/>
            <w:vAlign w:val="center"/>
          </w:tcPr>
          <w:p w14:paraId="6045CD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进入屠宰场（厂、点）的动物应当附有《动物检疫</w:t>
            </w:r>
          </w:p>
          <w:p w14:paraId="18BE4F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合格证明》</w:t>
            </w:r>
          </w:p>
        </w:tc>
        <w:tc>
          <w:tcPr>
            <w:tcW w:w="1599" w:type="dxa"/>
            <w:vAlign w:val="center"/>
          </w:tcPr>
          <w:p w14:paraId="5E45BD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动物及动物产品检疫合格证核发</w:t>
            </w:r>
          </w:p>
        </w:tc>
        <w:tc>
          <w:tcPr>
            <w:tcW w:w="1995" w:type="dxa"/>
            <w:vAlign w:val="center"/>
          </w:tcPr>
          <w:p w14:paraId="2F6D8B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《动物检疫管理办法》</w:t>
            </w:r>
          </w:p>
          <w:p w14:paraId="27F68D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第二十二条</w:t>
            </w:r>
          </w:p>
        </w:tc>
        <w:tc>
          <w:tcPr>
            <w:tcW w:w="825" w:type="dxa"/>
            <w:vMerge w:val="continue"/>
            <w:vAlign w:val="center"/>
          </w:tcPr>
          <w:p w14:paraId="19E67F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1F72AB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动物卫生监督所</w:t>
            </w:r>
          </w:p>
        </w:tc>
        <w:tc>
          <w:tcPr>
            <w:tcW w:w="807" w:type="dxa"/>
            <w:vAlign w:val="center"/>
          </w:tcPr>
          <w:p w14:paraId="23ACDC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1B0A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6E2B17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29</w:t>
            </w:r>
          </w:p>
        </w:tc>
        <w:tc>
          <w:tcPr>
            <w:tcW w:w="2111" w:type="dxa"/>
            <w:vAlign w:val="center"/>
          </w:tcPr>
          <w:p w14:paraId="732CDB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执业兽医和服务人员的</w:t>
            </w:r>
          </w:p>
          <w:p w14:paraId="6B3565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健康证明材料</w:t>
            </w:r>
          </w:p>
        </w:tc>
        <w:tc>
          <w:tcPr>
            <w:tcW w:w="1599" w:type="dxa"/>
            <w:vAlign w:val="center"/>
          </w:tcPr>
          <w:p w14:paraId="369EF9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动物诊疗许可</w:t>
            </w:r>
          </w:p>
        </w:tc>
        <w:tc>
          <w:tcPr>
            <w:tcW w:w="1995" w:type="dxa"/>
            <w:vAlign w:val="center"/>
          </w:tcPr>
          <w:p w14:paraId="7623C7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《动物诊疗机构管理办法》第七条</w:t>
            </w:r>
          </w:p>
        </w:tc>
        <w:tc>
          <w:tcPr>
            <w:tcW w:w="825" w:type="dxa"/>
            <w:vMerge w:val="continue"/>
            <w:vAlign w:val="center"/>
          </w:tcPr>
          <w:p w14:paraId="4DAE69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6CACA6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医院</w:t>
            </w:r>
          </w:p>
        </w:tc>
        <w:tc>
          <w:tcPr>
            <w:tcW w:w="807" w:type="dxa"/>
            <w:vAlign w:val="center"/>
          </w:tcPr>
          <w:p w14:paraId="748E43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0294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2ACB57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30</w:t>
            </w:r>
          </w:p>
        </w:tc>
        <w:tc>
          <w:tcPr>
            <w:tcW w:w="2111" w:type="dxa"/>
            <w:vAlign w:val="center"/>
          </w:tcPr>
          <w:p w14:paraId="79ED21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有效的健康证明</w:t>
            </w:r>
          </w:p>
        </w:tc>
        <w:tc>
          <w:tcPr>
            <w:tcW w:w="1599" w:type="dxa"/>
            <w:vAlign w:val="center"/>
          </w:tcPr>
          <w:p w14:paraId="518501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生鲜乳收购许可证核发</w:t>
            </w:r>
          </w:p>
        </w:tc>
        <w:tc>
          <w:tcPr>
            <w:tcW w:w="1995" w:type="dxa"/>
            <w:vAlign w:val="center"/>
          </w:tcPr>
          <w:p w14:paraId="5DBC29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《生鲜乳生产收购管理办法》第十八条</w:t>
            </w:r>
          </w:p>
        </w:tc>
        <w:tc>
          <w:tcPr>
            <w:tcW w:w="825" w:type="dxa"/>
            <w:vMerge w:val="continue"/>
            <w:vAlign w:val="center"/>
          </w:tcPr>
          <w:p w14:paraId="1ED9BE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7D177C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医院</w:t>
            </w:r>
          </w:p>
        </w:tc>
        <w:tc>
          <w:tcPr>
            <w:tcW w:w="807" w:type="dxa"/>
            <w:vAlign w:val="center"/>
          </w:tcPr>
          <w:p w14:paraId="7E7961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0E0D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78AE1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31</w:t>
            </w:r>
          </w:p>
        </w:tc>
        <w:tc>
          <w:tcPr>
            <w:tcW w:w="2111" w:type="dxa"/>
            <w:vAlign w:val="center"/>
          </w:tcPr>
          <w:p w14:paraId="11A7C5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从事生鲜乳运输的驾驶员、押运员应当持有有效的健康证明</w:t>
            </w:r>
          </w:p>
        </w:tc>
        <w:tc>
          <w:tcPr>
            <w:tcW w:w="1599" w:type="dxa"/>
            <w:vAlign w:val="center"/>
          </w:tcPr>
          <w:p w14:paraId="4EB0B7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生鲜乳准运证明核发</w:t>
            </w:r>
          </w:p>
        </w:tc>
        <w:tc>
          <w:tcPr>
            <w:tcW w:w="1995" w:type="dxa"/>
            <w:vAlign w:val="center"/>
          </w:tcPr>
          <w:p w14:paraId="1B73F6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《生鲜乳生产收购管理办法》第二十九条条</w:t>
            </w:r>
          </w:p>
        </w:tc>
        <w:tc>
          <w:tcPr>
            <w:tcW w:w="825" w:type="dxa"/>
            <w:vMerge w:val="continue"/>
            <w:vAlign w:val="center"/>
          </w:tcPr>
          <w:p w14:paraId="0EC7D3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67E17D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医院</w:t>
            </w:r>
          </w:p>
        </w:tc>
        <w:tc>
          <w:tcPr>
            <w:tcW w:w="807" w:type="dxa"/>
            <w:vAlign w:val="center"/>
          </w:tcPr>
          <w:p w14:paraId="260A7C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3C51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697938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32</w:t>
            </w:r>
          </w:p>
        </w:tc>
        <w:tc>
          <w:tcPr>
            <w:tcW w:w="2111" w:type="dxa"/>
            <w:vAlign w:val="center"/>
          </w:tcPr>
          <w:p w14:paraId="3324A7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医疗机构出具的6个月内的健康体检证明</w:t>
            </w:r>
          </w:p>
        </w:tc>
        <w:tc>
          <w:tcPr>
            <w:tcW w:w="1599" w:type="dxa"/>
            <w:vAlign w:val="center"/>
          </w:tcPr>
          <w:p w14:paraId="147856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执业兽医注册备案</w:t>
            </w:r>
          </w:p>
        </w:tc>
        <w:tc>
          <w:tcPr>
            <w:tcW w:w="1995" w:type="dxa"/>
            <w:vAlign w:val="center"/>
          </w:tcPr>
          <w:p w14:paraId="66F81D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《执业兽医管理办法》</w:t>
            </w:r>
          </w:p>
          <w:p w14:paraId="314CE7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第十五条</w:t>
            </w:r>
          </w:p>
        </w:tc>
        <w:tc>
          <w:tcPr>
            <w:tcW w:w="825" w:type="dxa"/>
            <w:vMerge w:val="continue"/>
            <w:vAlign w:val="center"/>
          </w:tcPr>
          <w:p w14:paraId="73E8ED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593C99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医院</w:t>
            </w:r>
          </w:p>
        </w:tc>
        <w:tc>
          <w:tcPr>
            <w:tcW w:w="807" w:type="dxa"/>
            <w:vAlign w:val="center"/>
          </w:tcPr>
          <w:p w14:paraId="3C2B91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4465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0DAE88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33</w:t>
            </w:r>
          </w:p>
        </w:tc>
        <w:tc>
          <w:tcPr>
            <w:tcW w:w="2111" w:type="dxa"/>
            <w:vAlign w:val="center"/>
          </w:tcPr>
          <w:p w14:paraId="01DF34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动物诊疗机构聘用证明及其复印件；申请人是动物诊疗机构法定代表人（负责人）的，提供动物诊疗许可证复印件</w:t>
            </w:r>
          </w:p>
        </w:tc>
        <w:tc>
          <w:tcPr>
            <w:tcW w:w="1599" w:type="dxa"/>
            <w:vAlign w:val="center"/>
          </w:tcPr>
          <w:p w14:paraId="008CFC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执业兽医注册备案</w:t>
            </w:r>
          </w:p>
        </w:tc>
        <w:tc>
          <w:tcPr>
            <w:tcW w:w="1995" w:type="dxa"/>
            <w:vAlign w:val="center"/>
          </w:tcPr>
          <w:p w14:paraId="2A863E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《执业兽医管理办法》</w:t>
            </w:r>
          </w:p>
          <w:p w14:paraId="7AA907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第十五条</w:t>
            </w:r>
          </w:p>
        </w:tc>
        <w:tc>
          <w:tcPr>
            <w:tcW w:w="825" w:type="dxa"/>
            <w:vMerge w:val="continue"/>
            <w:vAlign w:val="center"/>
          </w:tcPr>
          <w:p w14:paraId="76DCC1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192FD5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动物卫生监督所</w:t>
            </w:r>
          </w:p>
        </w:tc>
        <w:tc>
          <w:tcPr>
            <w:tcW w:w="807" w:type="dxa"/>
            <w:vAlign w:val="center"/>
          </w:tcPr>
          <w:p w14:paraId="71B17A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bl>
    <w:p w14:paraId="54A92CA6">
      <w:pPr>
        <w:sectPr>
          <w:pgSz w:w="11906" w:h="16838"/>
          <w:pgMar w:top="1701" w:right="1531" w:bottom="1701" w:left="1531" w:header="851" w:footer="992" w:gutter="0"/>
          <w:pgBorders>
            <w:top w:val="none" w:sz="0" w:space="0"/>
            <w:left w:val="none" w:sz="0" w:space="0"/>
            <w:bottom w:val="none" w:sz="0" w:space="0"/>
            <w:right w:val="none" w:sz="0" w:space="0"/>
          </w:pgBorders>
          <w:cols w:space="425" w:num="1"/>
          <w:docGrid w:type="lines" w:linePitch="312" w:charSpace="0"/>
        </w:sectPr>
      </w:pPr>
    </w:p>
    <w:p w14:paraId="74BC5D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14:paraId="5AB60F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lang w:val="en-US" w:eastAsia="zh-CN"/>
        </w:rPr>
        <w:t>稀土高新区</w:t>
      </w:r>
      <w:r>
        <w:rPr>
          <w:rFonts w:hint="eastAsia" w:ascii="方正小标宋简体" w:hAnsi="方正小标宋简体" w:eastAsia="方正小标宋简体" w:cs="方正小标宋简体"/>
          <w:sz w:val="36"/>
          <w:szCs w:val="44"/>
        </w:rPr>
        <w:t>本级证明事项</w:t>
      </w:r>
      <w:r>
        <w:rPr>
          <w:rFonts w:hint="eastAsia" w:ascii="方正小标宋简体" w:hAnsi="方正小标宋简体" w:eastAsia="方正小标宋简体" w:cs="方正小标宋简体"/>
          <w:sz w:val="36"/>
          <w:szCs w:val="44"/>
          <w:lang w:val="en-US" w:eastAsia="zh-CN"/>
        </w:rPr>
        <w:t>取消</w:t>
      </w:r>
      <w:r>
        <w:rPr>
          <w:rFonts w:hint="eastAsia" w:ascii="方正小标宋简体" w:hAnsi="方正小标宋简体" w:eastAsia="方正小标宋简体" w:cs="方正小标宋简体"/>
          <w:sz w:val="36"/>
          <w:szCs w:val="44"/>
        </w:rPr>
        <w:t>目录清单</w:t>
      </w:r>
    </w:p>
    <w:p w14:paraId="68B7F5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sz w:val="32"/>
          <w:szCs w:val="40"/>
          <w:lang w:val="en-US" w:eastAsia="zh-CN"/>
        </w:rPr>
      </w:pPr>
    </w:p>
    <w:tbl>
      <w:tblPr>
        <w:tblStyle w:val="4"/>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075"/>
        <w:gridCol w:w="1958"/>
        <w:gridCol w:w="2492"/>
        <w:gridCol w:w="1170"/>
        <w:gridCol w:w="825"/>
      </w:tblGrid>
      <w:tr w14:paraId="1937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42" w:type="dxa"/>
            <w:vAlign w:val="center"/>
          </w:tcPr>
          <w:p w14:paraId="47B089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序号</w:t>
            </w:r>
          </w:p>
        </w:tc>
        <w:tc>
          <w:tcPr>
            <w:tcW w:w="2075" w:type="dxa"/>
            <w:vAlign w:val="center"/>
          </w:tcPr>
          <w:p w14:paraId="0AFFBE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证明名称</w:t>
            </w:r>
          </w:p>
        </w:tc>
        <w:tc>
          <w:tcPr>
            <w:tcW w:w="1958" w:type="dxa"/>
            <w:vAlign w:val="center"/>
          </w:tcPr>
          <w:p w14:paraId="04521F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证明用途</w:t>
            </w:r>
          </w:p>
        </w:tc>
        <w:tc>
          <w:tcPr>
            <w:tcW w:w="2492" w:type="dxa"/>
            <w:vAlign w:val="center"/>
          </w:tcPr>
          <w:p w14:paraId="1FEE28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设定依据</w:t>
            </w:r>
          </w:p>
        </w:tc>
        <w:tc>
          <w:tcPr>
            <w:tcW w:w="1170" w:type="dxa"/>
            <w:vAlign w:val="center"/>
          </w:tcPr>
          <w:p w14:paraId="2F8B03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原索要单位</w:t>
            </w:r>
          </w:p>
        </w:tc>
        <w:tc>
          <w:tcPr>
            <w:tcW w:w="825" w:type="dxa"/>
            <w:vAlign w:val="center"/>
          </w:tcPr>
          <w:p w14:paraId="6825B2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备注</w:t>
            </w:r>
          </w:p>
        </w:tc>
      </w:tr>
      <w:tr w14:paraId="2782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2" w:type="dxa"/>
            <w:vAlign w:val="center"/>
          </w:tcPr>
          <w:p w14:paraId="607EA45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85" w:leftChars="0"/>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1</w:t>
            </w:r>
          </w:p>
        </w:tc>
        <w:tc>
          <w:tcPr>
            <w:tcW w:w="2075" w:type="dxa"/>
            <w:vAlign w:val="center"/>
          </w:tcPr>
          <w:p w14:paraId="3F2F8B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思想品德情况的鉴定</w:t>
            </w:r>
          </w:p>
          <w:p w14:paraId="445FA6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或者证明材料</w:t>
            </w:r>
          </w:p>
        </w:tc>
        <w:tc>
          <w:tcPr>
            <w:tcW w:w="1958" w:type="dxa"/>
            <w:vAlign w:val="center"/>
          </w:tcPr>
          <w:p w14:paraId="730650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教师资格证认定</w:t>
            </w:r>
          </w:p>
        </w:tc>
        <w:tc>
          <w:tcPr>
            <w:tcW w:w="2492" w:type="dxa"/>
            <w:vAlign w:val="center"/>
          </w:tcPr>
          <w:p w14:paraId="2BFDD2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《教育部关于取消一批证明事项的通知》（教政法函〔2019〕12号）</w:t>
            </w:r>
          </w:p>
        </w:tc>
        <w:tc>
          <w:tcPr>
            <w:tcW w:w="1170" w:type="dxa"/>
            <w:vAlign w:val="center"/>
          </w:tcPr>
          <w:p w14:paraId="495789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教育局</w:t>
            </w:r>
          </w:p>
        </w:tc>
        <w:tc>
          <w:tcPr>
            <w:tcW w:w="825" w:type="dxa"/>
            <w:vAlign w:val="center"/>
          </w:tcPr>
          <w:p w14:paraId="062371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r>
      <w:tr w14:paraId="28F4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2" w:type="dxa"/>
            <w:vAlign w:val="center"/>
          </w:tcPr>
          <w:p w14:paraId="1B55B14C">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20" w:lineRule="exact"/>
              <w:ind w:left="0" w:leftChars="0" w:firstLine="85" w:firstLineChars="0"/>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2075" w:type="dxa"/>
            <w:vAlign w:val="center"/>
          </w:tcPr>
          <w:p w14:paraId="226F07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转学证明</w:t>
            </w:r>
          </w:p>
        </w:tc>
        <w:tc>
          <w:tcPr>
            <w:tcW w:w="1958" w:type="dxa"/>
            <w:vAlign w:val="center"/>
          </w:tcPr>
          <w:p w14:paraId="5EFEC7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迁出户口</w:t>
            </w:r>
          </w:p>
        </w:tc>
        <w:tc>
          <w:tcPr>
            <w:tcW w:w="2492" w:type="dxa"/>
            <w:vAlign w:val="center"/>
          </w:tcPr>
          <w:p w14:paraId="70EDC4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color w:val="000000"/>
                <w:sz w:val="18"/>
                <w:szCs w:val="18"/>
              </w:rPr>
              <w:t>《户口登记条例》第</w:t>
            </w:r>
            <w:r>
              <w:rPr>
                <w:rFonts w:hint="eastAsia" w:ascii="宋体" w:hAnsi="宋体" w:eastAsia="宋体" w:cs="宋体"/>
                <w:color w:val="000000"/>
                <w:sz w:val="18"/>
                <w:szCs w:val="18"/>
                <w:lang w:val="en-US" w:eastAsia="zh-CN"/>
              </w:rPr>
              <w:t>十</w:t>
            </w:r>
            <w:r>
              <w:rPr>
                <w:rFonts w:hint="eastAsia" w:ascii="宋体" w:hAnsi="宋体" w:eastAsia="宋体" w:cs="宋体"/>
                <w:color w:val="000000"/>
                <w:sz w:val="18"/>
                <w:szCs w:val="18"/>
              </w:rPr>
              <w:t>条</w:t>
            </w:r>
            <w:r>
              <w:rPr>
                <w:rFonts w:hint="eastAsia" w:ascii="宋体" w:hAnsi="宋体" w:eastAsia="宋体" w:cs="宋体"/>
                <w:color w:val="000000"/>
                <w:sz w:val="18"/>
                <w:szCs w:val="18"/>
                <w:lang w:val="en-US" w:eastAsia="zh-CN"/>
              </w:rPr>
              <w:t xml:space="preserve"> 第二款</w:t>
            </w:r>
          </w:p>
        </w:tc>
        <w:tc>
          <w:tcPr>
            <w:tcW w:w="1170" w:type="dxa"/>
            <w:vMerge w:val="restart"/>
            <w:vAlign w:val="center"/>
          </w:tcPr>
          <w:p w14:paraId="30BC72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公安分局</w:t>
            </w:r>
          </w:p>
        </w:tc>
        <w:tc>
          <w:tcPr>
            <w:tcW w:w="825" w:type="dxa"/>
            <w:vAlign w:val="center"/>
          </w:tcPr>
          <w:p w14:paraId="29428C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r>
      <w:tr w14:paraId="30F9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2" w:type="dxa"/>
            <w:vAlign w:val="center"/>
          </w:tcPr>
          <w:p w14:paraId="739B2312">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20" w:lineRule="exact"/>
              <w:ind w:left="0" w:leftChars="0" w:firstLine="85" w:firstLineChars="0"/>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2075" w:type="dxa"/>
            <w:vAlign w:val="center"/>
          </w:tcPr>
          <w:p w14:paraId="6FB514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合法稳定住所证明</w:t>
            </w:r>
          </w:p>
        </w:tc>
        <w:tc>
          <w:tcPr>
            <w:tcW w:w="1958" w:type="dxa"/>
            <w:vAlign w:val="center"/>
          </w:tcPr>
          <w:p w14:paraId="2E023C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军人退伍、复员、转业、</w:t>
            </w:r>
          </w:p>
          <w:p w14:paraId="28FDC0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退休落户</w:t>
            </w:r>
          </w:p>
        </w:tc>
        <w:tc>
          <w:tcPr>
            <w:tcW w:w="2492" w:type="dxa"/>
            <w:vMerge w:val="restart"/>
            <w:vAlign w:val="center"/>
          </w:tcPr>
          <w:p w14:paraId="76647A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《内蒙古公安机关常住户口登记管理规范（试行）》</w:t>
            </w:r>
          </w:p>
          <w:p w14:paraId="5ADEB9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（内公办〔2016〕264号）</w:t>
            </w:r>
          </w:p>
        </w:tc>
        <w:tc>
          <w:tcPr>
            <w:tcW w:w="1170" w:type="dxa"/>
            <w:vMerge w:val="continue"/>
            <w:vAlign w:val="center"/>
          </w:tcPr>
          <w:p w14:paraId="07CFF9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825" w:type="dxa"/>
            <w:vAlign w:val="center"/>
          </w:tcPr>
          <w:p w14:paraId="31BDB9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r>
      <w:tr w14:paraId="272F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2" w:type="dxa"/>
            <w:vAlign w:val="center"/>
          </w:tcPr>
          <w:p w14:paraId="3606FC3E">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20" w:lineRule="exact"/>
              <w:ind w:left="0" w:leftChars="0" w:firstLine="85" w:firstLineChars="0"/>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2075" w:type="dxa"/>
            <w:vAlign w:val="center"/>
          </w:tcPr>
          <w:p w14:paraId="7A7E51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合法稳定住所证明</w:t>
            </w:r>
          </w:p>
        </w:tc>
        <w:tc>
          <w:tcPr>
            <w:tcW w:w="1958" w:type="dxa"/>
            <w:vAlign w:val="center"/>
          </w:tcPr>
          <w:p w14:paraId="6F7DD9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户主变更</w:t>
            </w:r>
          </w:p>
        </w:tc>
        <w:tc>
          <w:tcPr>
            <w:tcW w:w="2492" w:type="dxa"/>
            <w:vMerge w:val="continue"/>
            <w:vAlign w:val="center"/>
          </w:tcPr>
          <w:p w14:paraId="2201EA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p>
        </w:tc>
        <w:tc>
          <w:tcPr>
            <w:tcW w:w="1170" w:type="dxa"/>
            <w:vMerge w:val="continue"/>
            <w:vAlign w:val="center"/>
          </w:tcPr>
          <w:p w14:paraId="3AED90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825" w:type="dxa"/>
            <w:vAlign w:val="center"/>
          </w:tcPr>
          <w:p w14:paraId="469F19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r>
      <w:tr w14:paraId="1D7E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2" w:type="dxa"/>
            <w:vAlign w:val="center"/>
          </w:tcPr>
          <w:p w14:paraId="20A3F56D">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20" w:lineRule="exact"/>
              <w:ind w:left="0" w:leftChars="0" w:firstLine="85" w:firstLineChars="0"/>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2075" w:type="dxa"/>
            <w:vAlign w:val="center"/>
          </w:tcPr>
          <w:p w14:paraId="47A2F7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房屋所有权证明</w:t>
            </w:r>
          </w:p>
        </w:tc>
        <w:tc>
          <w:tcPr>
            <w:tcW w:w="1958" w:type="dxa"/>
            <w:vAlign w:val="center"/>
          </w:tcPr>
          <w:p w14:paraId="2E1837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迁移户口</w:t>
            </w:r>
          </w:p>
        </w:tc>
        <w:tc>
          <w:tcPr>
            <w:tcW w:w="2492" w:type="dxa"/>
            <w:vMerge w:val="continue"/>
            <w:vAlign w:val="center"/>
          </w:tcPr>
          <w:p w14:paraId="49DA36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170" w:type="dxa"/>
            <w:vMerge w:val="continue"/>
            <w:vAlign w:val="center"/>
          </w:tcPr>
          <w:p w14:paraId="3A2900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825" w:type="dxa"/>
            <w:vAlign w:val="center"/>
          </w:tcPr>
          <w:p w14:paraId="565766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r>
      <w:tr w14:paraId="642B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2" w:type="dxa"/>
            <w:vAlign w:val="center"/>
          </w:tcPr>
          <w:p w14:paraId="31AD707D">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20" w:lineRule="exact"/>
              <w:ind w:left="0" w:leftChars="0" w:firstLine="85" w:firstLineChars="0"/>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2075" w:type="dxa"/>
            <w:vAlign w:val="center"/>
          </w:tcPr>
          <w:p w14:paraId="48327D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已采用网络安全技术</w:t>
            </w:r>
          </w:p>
          <w:p w14:paraId="329CCB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保护措施的证明文件</w:t>
            </w:r>
          </w:p>
        </w:tc>
        <w:tc>
          <w:tcPr>
            <w:tcW w:w="1958" w:type="dxa"/>
            <w:vAlign w:val="center"/>
          </w:tcPr>
          <w:p w14:paraId="6ABD3A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互联网营业场所设立申请</w:t>
            </w:r>
          </w:p>
        </w:tc>
        <w:tc>
          <w:tcPr>
            <w:tcW w:w="2492" w:type="dxa"/>
            <w:vAlign w:val="center"/>
          </w:tcPr>
          <w:p w14:paraId="02F12D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《互联网上网服务营业场所</w:t>
            </w:r>
          </w:p>
          <w:p w14:paraId="3B0E96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管理条例》第十一条</w:t>
            </w:r>
          </w:p>
        </w:tc>
        <w:tc>
          <w:tcPr>
            <w:tcW w:w="1170" w:type="dxa"/>
            <w:vMerge w:val="continue"/>
            <w:vAlign w:val="center"/>
          </w:tcPr>
          <w:p w14:paraId="4B8C23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p>
        </w:tc>
        <w:tc>
          <w:tcPr>
            <w:tcW w:w="825" w:type="dxa"/>
            <w:vAlign w:val="center"/>
          </w:tcPr>
          <w:p w14:paraId="0F3FD4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p>
        </w:tc>
      </w:tr>
    </w:tbl>
    <w:p w14:paraId="6175780F"/>
    <w:p w14:paraId="21270CC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sectPr>
          <w:pgSz w:w="11906" w:h="16838"/>
          <w:pgMar w:top="1701" w:right="1531" w:bottom="1701" w:left="1531" w:header="851" w:footer="992" w:gutter="0"/>
          <w:pgBorders>
            <w:top w:val="none" w:sz="0" w:space="0"/>
            <w:left w:val="none" w:sz="0" w:space="0"/>
            <w:bottom w:val="none" w:sz="0" w:space="0"/>
            <w:right w:val="none" w:sz="0" w:space="0"/>
          </w:pgBorders>
          <w:cols w:space="425" w:num="1"/>
          <w:docGrid w:type="lines" w:linePitch="312" w:charSpace="0"/>
        </w:sectPr>
      </w:pPr>
    </w:p>
    <w:p w14:paraId="5CA1BB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p>
    <w:p w14:paraId="44417E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稀土高新区实行告知承诺制事项目录</w:t>
      </w:r>
    </w:p>
    <w:p w14:paraId="267A54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36"/>
          <w:szCs w:val="44"/>
          <w:lang w:val="en-US" w:eastAsia="zh-CN"/>
        </w:rPr>
      </w:pPr>
    </w:p>
    <w:tbl>
      <w:tblPr>
        <w:tblStyle w:val="3"/>
        <w:tblW w:w="10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4"/>
        <w:gridCol w:w="750"/>
        <w:gridCol w:w="1755"/>
        <w:gridCol w:w="1080"/>
        <w:gridCol w:w="1080"/>
        <w:gridCol w:w="1335"/>
        <w:gridCol w:w="2928"/>
        <w:gridCol w:w="638"/>
      </w:tblGrid>
      <w:tr w14:paraId="2C389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blHeader/>
          <w:jc w:val="center"/>
        </w:trPr>
        <w:tc>
          <w:tcPr>
            <w:tcW w:w="734" w:type="dxa"/>
            <w:tcBorders>
              <w:tl2br w:val="nil"/>
              <w:tr2bl w:val="nil"/>
            </w:tcBorders>
            <w:shd w:val="clear" w:color="auto" w:fill="auto"/>
            <w:noWrap/>
            <w:vAlign w:val="center"/>
          </w:tcPr>
          <w:p w14:paraId="030DAF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50" w:type="dxa"/>
            <w:tcBorders>
              <w:tl2br w:val="nil"/>
              <w:tr2bl w:val="nil"/>
            </w:tcBorders>
            <w:shd w:val="clear" w:color="auto" w:fill="auto"/>
            <w:vAlign w:val="center"/>
          </w:tcPr>
          <w:p w14:paraId="20EF06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w:t>
            </w:r>
          </w:p>
        </w:tc>
        <w:tc>
          <w:tcPr>
            <w:tcW w:w="1755" w:type="dxa"/>
            <w:tcBorders>
              <w:tl2br w:val="nil"/>
              <w:tr2bl w:val="nil"/>
            </w:tcBorders>
            <w:shd w:val="clear" w:color="auto" w:fill="auto"/>
            <w:vAlign w:val="center"/>
          </w:tcPr>
          <w:p w14:paraId="660A25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事项名称</w:t>
            </w:r>
          </w:p>
        </w:tc>
        <w:tc>
          <w:tcPr>
            <w:tcW w:w="1080" w:type="dxa"/>
            <w:tcBorders>
              <w:tl2br w:val="nil"/>
              <w:tr2bl w:val="nil"/>
            </w:tcBorders>
            <w:shd w:val="clear" w:color="auto" w:fill="auto"/>
            <w:vAlign w:val="center"/>
          </w:tcPr>
          <w:p w14:paraId="6C5AED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事项类型</w:t>
            </w:r>
          </w:p>
        </w:tc>
        <w:tc>
          <w:tcPr>
            <w:tcW w:w="1080" w:type="dxa"/>
            <w:tcBorders>
              <w:tl2br w:val="nil"/>
              <w:tr2bl w:val="nil"/>
            </w:tcBorders>
            <w:shd w:val="clear" w:color="auto" w:fill="auto"/>
            <w:vAlign w:val="center"/>
          </w:tcPr>
          <w:p w14:paraId="0D5E06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是否涉企</w:t>
            </w:r>
          </w:p>
        </w:tc>
        <w:tc>
          <w:tcPr>
            <w:tcW w:w="1335" w:type="dxa"/>
            <w:tcBorders>
              <w:tl2br w:val="nil"/>
              <w:tr2bl w:val="nil"/>
            </w:tcBorders>
            <w:shd w:val="clear" w:color="auto" w:fill="auto"/>
            <w:vAlign w:val="center"/>
          </w:tcPr>
          <w:p w14:paraId="63D0185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是否推行</w:t>
            </w:r>
          </w:p>
          <w:p w14:paraId="460FF0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告知承诺制</w:t>
            </w:r>
          </w:p>
        </w:tc>
        <w:tc>
          <w:tcPr>
            <w:tcW w:w="2928" w:type="dxa"/>
            <w:tcBorders>
              <w:tl2br w:val="nil"/>
              <w:tr2bl w:val="nil"/>
            </w:tcBorders>
            <w:shd w:val="clear" w:color="auto" w:fill="auto"/>
            <w:vAlign w:val="center"/>
          </w:tcPr>
          <w:p w14:paraId="7FD16E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告知承诺举措</w:t>
            </w:r>
          </w:p>
        </w:tc>
        <w:tc>
          <w:tcPr>
            <w:tcW w:w="638" w:type="dxa"/>
            <w:tcBorders>
              <w:tl2br w:val="nil"/>
              <w:tr2bl w:val="nil"/>
            </w:tcBorders>
            <w:shd w:val="clear" w:color="auto" w:fill="auto"/>
            <w:vAlign w:val="center"/>
          </w:tcPr>
          <w:p w14:paraId="312E2F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1975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0FB54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l2br w:val="nil"/>
              <w:tr2bl w:val="nil"/>
            </w:tcBorders>
            <w:shd w:val="clear" w:color="auto" w:fill="auto"/>
            <w:vAlign w:val="center"/>
          </w:tcPr>
          <w:p w14:paraId="2AFF845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组</w:t>
            </w:r>
          </w:p>
          <w:p w14:paraId="74E54CA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织</w:t>
            </w:r>
          </w:p>
          <w:p w14:paraId="2C8CF6C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人</w:t>
            </w:r>
          </w:p>
          <w:p w14:paraId="327CB04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社</w:t>
            </w:r>
          </w:p>
          <w:p w14:paraId="2352BC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w:t>
            </w:r>
          </w:p>
        </w:tc>
        <w:tc>
          <w:tcPr>
            <w:tcW w:w="1755" w:type="dxa"/>
            <w:tcBorders>
              <w:tl2br w:val="nil"/>
              <w:tr2bl w:val="nil"/>
            </w:tcBorders>
            <w:shd w:val="clear" w:color="auto" w:fill="auto"/>
            <w:vAlign w:val="center"/>
          </w:tcPr>
          <w:p w14:paraId="4DFC8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实行不定时工作制和综合计算工时工作制审批</w:t>
            </w:r>
          </w:p>
        </w:tc>
        <w:tc>
          <w:tcPr>
            <w:tcW w:w="1080" w:type="dxa"/>
            <w:tcBorders>
              <w:tl2br w:val="nil"/>
              <w:tr2bl w:val="nil"/>
            </w:tcBorders>
            <w:shd w:val="clear" w:color="auto" w:fill="auto"/>
            <w:noWrap/>
            <w:vAlign w:val="center"/>
          </w:tcPr>
          <w:p w14:paraId="6AED0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53A08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44F8F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58B4F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16C56F1C">
            <w:pPr>
              <w:jc w:val="center"/>
              <w:rPr>
                <w:rFonts w:hint="eastAsia" w:ascii="宋体" w:hAnsi="宋体" w:eastAsia="宋体" w:cs="宋体"/>
                <w:i w:val="0"/>
                <w:iCs w:val="0"/>
                <w:color w:val="000000"/>
                <w:sz w:val="18"/>
                <w:szCs w:val="18"/>
                <w:u w:val="none"/>
              </w:rPr>
            </w:pPr>
          </w:p>
        </w:tc>
      </w:tr>
      <w:tr w14:paraId="57A2F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78DD5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continue"/>
            <w:tcBorders>
              <w:tl2br w:val="nil"/>
              <w:tr2bl w:val="nil"/>
            </w:tcBorders>
            <w:shd w:val="clear" w:color="auto" w:fill="auto"/>
            <w:vAlign w:val="center"/>
          </w:tcPr>
          <w:p w14:paraId="538FB151">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1D110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劳务派遣经营许可</w:t>
            </w:r>
          </w:p>
        </w:tc>
        <w:tc>
          <w:tcPr>
            <w:tcW w:w="1080" w:type="dxa"/>
            <w:tcBorders>
              <w:tl2br w:val="nil"/>
              <w:tr2bl w:val="nil"/>
            </w:tcBorders>
            <w:shd w:val="clear" w:color="auto" w:fill="auto"/>
            <w:noWrap/>
            <w:vAlign w:val="center"/>
          </w:tcPr>
          <w:p w14:paraId="6D5AA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3474E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7BB76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67E92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3EB0D86A">
            <w:pPr>
              <w:jc w:val="center"/>
              <w:rPr>
                <w:rFonts w:hint="eastAsia" w:ascii="宋体" w:hAnsi="宋体" w:eastAsia="宋体" w:cs="宋体"/>
                <w:i w:val="0"/>
                <w:iCs w:val="0"/>
                <w:color w:val="000000"/>
                <w:sz w:val="18"/>
                <w:szCs w:val="18"/>
                <w:u w:val="none"/>
              </w:rPr>
            </w:pPr>
          </w:p>
        </w:tc>
      </w:tr>
      <w:tr w14:paraId="25D34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71C1C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vMerge w:val="continue"/>
            <w:tcBorders>
              <w:tl2br w:val="nil"/>
              <w:tr2bl w:val="nil"/>
            </w:tcBorders>
            <w:shd w:val="clear" w:color="auto" w:fill="auto"/>
            <w:vAlign w:val="center"/>
          </w:tcPr>
          <w:p w14:paraId="0F316686">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48FFA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劳务派遣经营、变更、延续、注销许可</w:t>
            </w:r>
          </w:p>
        </w:tc>
        <w:tc>
          <w:tcPr>
            <w:tcW w:w="1080" w:type="dxa"/>
            <w:tcBorders>
              <w:tl2br w:val="nil"/>
              <w:tr2bl w:val="nil"/>
            </w:tcBorders>
            <w:shd w:val="clear" w:color="auto" w:fill="auto"/>
            <w:noWrap/>
            <w:vAlign w:val="center"/>
          </w:tcPr>
          <w:p w14:paraId="7DD48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46B8D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333F8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15CE1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7BBE2DA0">
            <w:pPr>
              <w:jc w:val="center"/>
              <w:rPr>
                <w:rFonts w:hint="eastAsia" w:ascii="宋体" w:hAnsi="宋体" w:eastAsia="宋体" w:cs="宋体"/>
                <w:i w:val="0"/>
                <w:iCs w:val="0"/>
                <w:color w:val="000000"/>
                <w:sz w:val="18"/>
                <w:szCs w:val="18"/>
                <w:u w:val="none"/>
              </w:rPr>
            </w:pPr>
          </w:p>
        </w:tc>
      </w:tr>
      <w:tr w14:paraId="32D9A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5A49C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vMerge w:val="continue"/>
            <w:tcBorders>
              <w:tl2br w:val="nil"/>
              <w:tr2bl w:val="nil"/>
            </w:tcBorders>
            <w:shd w:val="clear" w:color="auto" w:fill="auto"/>
            <w:vAlign w:val="center"/>
          </w:tcPr>
          <w:p w14:paraId="6B2BD002">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695BF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工伤认定</w:t>
            </w:r>
          </w:p>
        </w:tc>
        <w:tc>
          <w:tcPr>
            <w:tcW w:w="1080" w:type="dxa"/>
            <w:tcBorders>
              <w:tl2br w:val="nil"/>
              <w:tr2bl w:val="nil"/>
            </w:tcBorders>
            <w:shd w:val="clear" w:color="auto" w:fill="auto"/>
            <w:noWrap/>
            <w:vAlign w:val="center"/>
          </w:tcPr>
          <w:p w14:paraId="41ED2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080" w:type="dxa"/>
            <w:tcBorders>
              <w:tl2br w:val="nil"/>
              <w:tr2bl w:val="nil"/>
            </w:tcBorders>
            <w:shd w:val="clear" w:color="auto" w:fill="auto"/>
            <w:noWrap/>
            <w:vAlign w:val="center"/>
          </w:tcPr>
          <w:p w14:paraId="55D1E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36451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5C152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07C69D77">
            <w:pPr>
              <w:jc w:val="center"/>
              <w:rPr>
                <w:rFonts w:hint="eastAsia" w:ascii="宋体" w:hAnsi="宋体" w:eastAsia="宋体" w:cs="宋体"/>
                <w:i w:val="0"/>
                <w:iCs w:val="0"/>
                <w:color w:val="000000"/>
                <w:sz w:val="18"/>
                <w:szCs w:val="18"/>
                <w:u w:val="none"/>
              </w:rPr>
            </w:pPr>
          </w:p>
        </w:tc>
      </w:tr>
      <w:tr w14:paraId="2D66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79D54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0" w:type="dxa"/>
            <w:vMerge w:val="continue"/>
            <w:tcBorders>
              <w:tl2br w:val="nil"/>
              <w:tr2bl w:val="nil"/>
            </w:tcBorders>
            <w:shd w:val="clear" w:color="auto" w:fill="auto"/>
            <w:vAlign w:val="center"/>
          </w:tcPr>
          <w:p w14:paraId="738C33AF">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32807F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职业中介机构</w:t>
            </w:r>
          </w:p>
          <w:p w14:paraId="354F4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设立许可</w:t>
            </w:r>
          </w:p>
        </w:tc>
        <w:tc>
          <w:tcPr>
            <w:tcW w:w="1080" w:type="dxa"/>
            <w:tcBorders>
              <w:tl2br w:val="nil"/>
              <w:tr2bl w:val="nil"/>
            </w:tcBorders>
            <w:shd w:val="clear" w:color="auto" w:fill="auto"/>
            <w:noWrap/>
            <w:vAlign w:val="center"/>
          </w:tcPr>
          <w:p w14:paraId="24F4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286CE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4A8D2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3CD3C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60E0EED0">
            <w:pPr>
              <w:jc w:val="center"/>
              <w:rPr>
                <w:rFonts w:hint="eastAsia" w:ascii="宋体" w:hAnsi="宋体" w:eastAsia="宋体" w:cs="宋体"/>
                <w:i w:val="0"/>
                <w:iCs w:val="0"/>
                <w:color w:val="000000"/>
                <w:sz w:val="18"/>
                <w:szCs w:val="18"/>
                <w:u w:val="none"/>
              </w:rPr>
            </w:pPr>
          </w:p>
        </w:tc>
      </w:tr>
      <w:tr w14:paraId="3DABB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4B0B9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0" w:type="dxa"/>
            <w:vMerge w:val="continue"/>
            <w:tcBorders>
              <w:tl2br w:val="nil"/>
              <w:tr2bl w:val="nil"/>
            </w:tcBorders>
            <w:shd w:val="clear" w:color="auto" w:fill="auto"/>
            <w:vAlign w:val="center"/>
          </w:tcPr>
          <w:p w14:paraId="16B18570">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1D2E5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设立人才中介服务机构设立及其业务</w:t>
            </w:r>
          </w:p>
          <w:p w14:paraId="08719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范围审批</w:t>
            </w:r>
          </w:p>
        </w:tc>
        <w:tc>
          <w:tcPr>
            <w:tcW w:w="1080" w:type="dxa"/>
            <w:tcBorders>
              <w:tl2br w:val="nil"/>
              <w:tr2bl w:val="nil"/>
            </w:tcBorders>
            <w:shd w:val="clear" w:color="auto" w:fill="auto"/>
            <w:noWrap/>
            <w:vAlign w:val="center"/>
          </w:tcPr>
          <w:p w14:paraId="1054B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68CBD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42673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32B80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vAlign w:val="center"/>
          </w:tcPr>
          <w:p w14:paraId="1BA8309E">
            <w:pPr>
              <w:jc w:val="center"/>
              <w:rPr>
                <w:rFonts w:hint="eastAsia" w:ascii="宋体" w:hAnsi="宋体" w:eastAsia="宋体" w:cs="宋体"/>
                <w:i w:val="0"/>
                <w:iCs w:val="0"/>
                <w:color w:val="000000"/>
                <w:sz w:val="18"/>
                <w:szCs w:val="18"/>
                <w:u w:val="none"/>
              </w:rPr>
            </w:pPr>
          </w:p>
        </w:tc>
      </w:tr>
      <w:tr w14:paraId="5965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243F7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50" w:type="dxa"/>
            <w:vMerge w:val="restart"/>
            <w:tcBorders>
              <w:tl2br w:val="nil"/>
              <w:tr2bl w:val="nil"/>
            </w:tcBorders>
            <w:shd w:val="clear" w:color="auto" w:fill="auto"/>
            <w:vAlign w:val="center"/>
          </w:tcPr>
          <w:p w14:paraId="3CCAD8E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社</w:t>
            </w:r>
          </w:p>
          <w:p w14:paraId="12A2DB6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会</w:t>
            </w:r>
          </w:p>
          <w:p w14:paraId="0FEF5E4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事</w:t>
            </w:r>
          </w:p>
          <w:p w14:paraId="29AC47D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务</w:t>
            </w:r>
          </w:p>
          <w:p w14:paraId="7D4FF5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局</w:t>
            </w:r>
          </w:p>
        </w:tc>
        <w:tc>
          <w:tcPr>
            <w:tcW w:w="1755" w:type="dxa"/>
            <w:tcBorders>
              <w:tl2br w:val="nil"/>
              <w:tr2bl w:val="nil"/>
            </w:tcBorders>
            <w:shd w:val="clear" w:color="auto" w:fill="auto"/>
            <w:vAlign w:val="center"/>
          </w:tcPr>
          <w:p w14:paraId="1229A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最低生活保障对象认定、保障金给付</w:t>
            </w:r>
          </w:p>
        </w:tc>
        <w:tc>
          <w:tcPr>
            <w:tcW w:w="1080" w:type="dxa"/>
            <w:tcBorders>
              <w:tl2br w:val="nil"/>
              <w:tr2bl w:val="nil"/>
            </w:tcBorders>
            <w:shd w:val="clear" w:color="auto" w:fill="auto"/>
            <w:noWrap/>
            <w:vAlign w:val="center"/>
          </w:tcPr>
          <w:p w14:paraId="6A50E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1080" w:type="dxa"/>
            <w:tcBorders>
              <w:tl2br w:val="nil"/>
              <w:tr2bl w:val="nil"/>
            </w:tcBorders>
            <w:shd w:val="clear" w:color="auto" w:fill="auto"/>
            <w:noWrap/>
            <w:vAlign w:val="center"/>
          </w:tcPr>
          <w:p w14:paraId="5130F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0146B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7BFB2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3EC51EE9">
            <w:pPr>
              <w:jc w:val="center"/>
              <w:rPr>
                <w:rFonts w:hint="eastAsia" w:ascii="宋体" w:hAnsi="宋体" w:eastAsia="宋体" w:cs="宋体"/>
                <w:i w:val="0"/>
                <w:iCs w:val="0"/>
                <w:color w:val="000000"/>
                <w:sz w:val="18"/>
                <w:szCs w:val="18"/>
                <w:u w:val="none"/>
              </w:rPr>
            </w:pPr>
          </w:p>
        </w:tc>
      </w:tr>
      <w:tr w14:paraId="626A0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3440C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0" w:type="dxa"/>
            <w:vMerge w:val="continue"/>
            <w:tcBorders>
              <w:tl2br w:val="nil"/>
              <w:tr2bl w:val="nil"/>
            </w:tcBorders>
            <w:shd w:val="clear" w:color="auto" w:fill="auto"/>
            <w:vAlign w:val="center"/>
          </w:tcPr>
          <w:p w14:paraId="7744464F">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7A8C9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特困人员认定、救助</w:t>
            </w:r>
          </w:p>
          <w:p w14:paraId="21904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供养金给付</w:t>
            </w:r>
          </w:p>
        </w:tc>
        <w:tc>
          <w:tcPr>
            <w:tcW w:w="1080" w:type="dxa"/>
            <w:tcBorders>
              <w:tl2br w:val="nil"/>
              <w:tr2bl w:val="nil"/>
            </w:tcBorders>
            <w:shd w:val="clear" w:color="auto" w:fill="auto"/>
            <w:noWrap/>
            <w:vAlign w:val="center"/>
          </w:tcPr>
          <w:p w14:paraId="3FF79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1080" w:type="dxa"/>
            <w:tcBorders>
              <w:tl2br w:val="nil"/>
              <w:tr2bl w:val="nil"/>
            </w:tcBorders>
            <w:shd w:val="clear" w:color="auto" w:fill="auto"/>
            <w:noWrap/>
            <w:vAlign w:val="center"/>
          </w:tcPr>
          <w:p w14:paraId="2FE69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2E6ED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7DB00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5C115589">
            <w:pPr>
              <w:jc w:val="center"/>
              <w:rPr>
                <w:rFonts w:hint="eastAsia" w:ascii="宋体" w:hAnsi="宋体" w:eastAsia="宋体" w:cs="宋体"/>
                <w:i w:val="0"/>
                <w:iCs w:val="0"/>
                <w:color w:val="000000"/>
                <w:sz w:val="18"/>
                <w:szCs w:val="18"/>
                <w:u w:val="none"/>
              </w:rPr>
            </w:pPr>
          </w:p>
        </w:tc>
      </w:tr>
      <w:tr w14:paraId="5A3F8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1B944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50" w:type="dxa"/>
            <w:vMerge w:val="continue"/>
            <w:tcBorders>
              <w:tl2br w:val="nil"/>
              <w:tr2bl w:val="nil"/>
            </w:tcBorders>
            <w:shd w:val="clear" w:color="auto" w:fill="auto"/>
            <w:vAlign w:val="center"/>
          </w:tcPr>
          <w:p w14:paraId="3AF0E1D3">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4319C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临时救助对象认定、</w:t>
            </w:r>
          </w:p>
          <w:p w14:paraId="1C1D2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救助金给付</w:t>
            </w:r>
          </w:p>
        </w:tc>
        <w:tc>
          <w:tcPr>
            <w:tcW w:w="1080" w:type="dxa"/>
            <w:tcBorders>
              <w:tl2br w:val="nil"/>
              <w:tr2bl w:val="nil"/>
            </w:tcBorders>
            <w:shd w:val="clear" w:color="auto" w:fill="auto"/>
            <w:noWrap/>
            <w:vAlign w:val="center"/>
          </w:tcPr>
          <w:p w14:paraId="6D599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1080" w:type="dxa"/>
            <w:tcBorders>
              <w:tl2br w:val="nil"/>
              <w:tr2bl w:val="nil"/>
            </w:tcBorders>
            <w:shd w:val="clear" w:color="auto" w:fill="auto"/>
            <w:noWrap/>
            <w:vAlign w:val="center"/>
          </w:tcPr>
          <w:p w14:paraId="57122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14624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40D48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112DB009">
            <w:pPr>
              <w:jc w:val="center"/>
              <w:rPr>
                <w:rFonts w:hint="eastAsia" w:ascii="宋体" w:hAnsi="宋体" w:eastAsia="宋体" w:cs="宋体"/>
                <w:i w:val="0"/>
                <w:iCs w:val="0"/>
                <w:color w:val="000000"/>
                <w:sz w:val="18"/>
                <w:szCs w:val="18"/>
                <w:u w:val="none"/>
              </w:rPr>
            </w:pPr>
          </w:p>
        </w:tc>
      </w:tr>
      <w:tr w14:paraId="5DBFB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65F1E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0" w:type="dxa"/>
            <w:vMerge w:val="continue"/>
            <w:tcBorders>
              <w:tl2br w:val="nil"/>
              <w:tr2bl w:val="nil"/>
            </w:tcBorders>
            <w:shd w:val="clear" w:color="auto" w:fill="auto"/>
            <w:vAlign w:val="center"/>
          </w:tcPr>
          <w:p w14:paraId="291F373E">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0A6E4F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文物保护单位修缮许可（旗县级重点文物</w:t>
            </w:r>
          </w:p>
          <w:p w14:paraId="69383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保护单位）</w:t>
            </w:r>
          </w:p>
        </w:tc>
        <w:tc>
          <w:tcPr>
            <w:tcW w:w="1080" w:type="dxa"/>
            <w:tcBorders>
              <w:tl2br w:val="nil"/>
              <w:tr2bl w:val="nil"/>
            </w:tcBorders>
            <w:shd w:val="clear" w:color="auto" w:fill="auto"/>
            <w:noWrap/>
            <w:vAlign w:val="center"/>
          </w:tcPr>
          <w:p w14:paraId="66CAD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61F19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3DB9F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0A2CA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4427B122">
            <w:pPr>
              <w:jc w:val="center"/>
              <w:rPr>
                <w:rFonts w:hint="eastAsia" w:ascii="宋体" w:hAnsi="宋体" w:eastAsia="宋体" w:cs="宋体"/>
                <w:i w:val="0"/>
                <w:iCs w:val="0"/>
                <w:color w:val="000000"/>
                <w:sz w:val="18"/>
                <w:szCs w:val="18"/>
                <w:u w:val="none"/>
              </w:rPr>
            </w:pPr>
          </w:p>
        </w:tc>
      </w:tr>
      <w:tr w14:paraId="13CB2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5F862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50" w:type="dxa"/>
            <w:vMerge w:val="continue"/>
            <w:tcBorders>
              <w:tl2br w:val="nil"/>
              <w:tr2bl w:val="nil"/>
            </w:tcBorders>
            <w:shd w:val="clear" w:color="auto" w:fill="auto"/>
            <w:vAlign w:val="center"/>
          </w:tcPr>
          <w:p w14:paraId="1BD9D3C3">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355D5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互联网上网服务营业场所的设立、变更许可</w:t>
            </w:r>
          </w:p>
        </w:tc>
        <w:tc>
          <w:tcPr>
            <w:tcW w:w="1080" w:type="dxa"/>
            <w:tcBorders>
              <w:tl2br w:val="nil"/>
              <w:tr2bl w:val="nil"/>
            </w:tcBorders>
            <w:shd w:val="clear" w:color="auto" w:fill="auto"/>
            <w:noWrap/>
            <w:vAlign w:val="center"/>
          </w:tcPr>
          <w:p w14:paraId="074A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1F9DC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1BA15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5951A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726B58AC">
            <w:pPr>
              <w:jc w:val="center"/>
              <w:rPr>
                <w:rFonts w:hint="eastAsia" w:ascii="宋体" w:hAnsi="宋体" w:eastAsia="宋体" w:cs="宋体"/>
                <w:i w:val="0"/>
                <w:iCs w:val="0"/>
                <w:color w:val="000000"/>
                <w:sz w:val="18"/>
                <w:szCs w:val="18"/>
                <w:u w:val="none"/>
              </w:rPr>
            </w:pPr>
          </w:p>
        </w:tc>
      </w:tr>
      <w:tr w14:paraId="490F3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3A32A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0" w:type="dxa"/>
            <w:vMerge w:val="continue"/>
            <w:tcBorders>
              <w:tl2br w:val="nil"/>
              <w:tr2bl w:val="nil"/>
            </w:tcBorders>
            <w:shd w:val="clear" w:color="auto" w:fill="auto"/>
            <w:vAlign w:val="center"/>
          </w:tcPr>
          <w:p w14:paraId="59CCCA9D">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30A76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营业性演出审批</w:t>
            </w:r>
          </w:p>
        </w:tc>
        <w:tc>
          <w:tcPr>
            <w:tcW w:w="1080" w:type="dxa"/>
            <w:tcBorders>
              <w:tl2br w:val="nil"/>
              <w:tr2bl w:val="nil"/>
            </w:tcBorders>
            <w:shd w:val="clear" w:color="auto" w:fill="auto"/>
            <w:noWrap/>
            <w:vAlign w:val="center"/>
          </w:tcPr>
          <w:p w14:paraId="0C93A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00B85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2F11D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3756E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32AADE8C">
            <w:pPr>
              <w:jc w:val="center"/>
              <w:rPr>
                <w:rFonts w:hint="eastAsia" w:ascii="宋体" w:hAnsi="宋体" w:eastAsia="宋体" w:cs="宋体"/>
                <w:i w:val="0"/>
                <w:iCs w:val="0"/>
                <w:color w:val="000000"/>
                <w:sz w:val="18"/>
                <w:szCs w:val="18"/>
                <w:u w:val="none"/>
              </w:rPr>
            </w:pPr>
          </w:p>
        </w:tc>
      </w:tr>
      <w:tr w14:paraId="1824A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4D39B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50" w:type="dxa"/>
            <w:vMerge w:val="continue"/>
            <w:tcBorders>
              <w:tl2br w:val="nil"/>
              <w:tr2bl w:val="nil"/>
            </w:tcBorders>
            <w:shd w:val="clear" w:color="auto" w:fill="auto"/>
            <w:vAlign w:val="center"/>
          </w:tcPr>
          <w:p w14:paraId="73A2A94B">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27B29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娱乐场所的设立、变更</w:t>
            </w:r>
          </w:p>
        </w:tc>
        <w:tc>
          <w:tcPr>
            <w:tcW w:w="1080" w:type="dxa"/>
            <w:tcBorders>
              <w:tl2br w:val="nil"/>
              <w:tr2bl w:val="nil"/>
            </w:tcBorders>
            <w:shd w:val="clear" w:color="auto" w:fill="auto"/>
            <w:noWrap/>
            <w:vAlign w:val="center"/>
          </w:tcPr>
          <w:p w14:paraId="6D0D4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4DE4E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1F211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39FC2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49EF7661">
            <w:pPr>
              <w:jc w:val="center"/>
              <w:rPr>
                <w:rFonts w:hint="eastAsia" w:ascii="宋体" w:hAnsi="宋体" w:eastAsia="宋体" w:cs="宋体"/>
                <w:i w:val="0"/>
                <w:iCs w:val="0"/>
                <w:color w:val="000000"/>
                <w:sz w:val="18"/>
                <w:szCs w:val="18"/>
                <w:u w:val="none"/>
              </w:rPr>
            </w:pPr>
          </w:p>
        </w:tc>
      </w:tr>
      <w:tr w14:paraId="0689E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4AFF4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50" w:type="dxa"/>
            <w:vMerge w:val="restart"/>
            <w:tcBorders>
              <w:tl2br w:val="nil"/>
              <w:tr2bl w:val="nil"/>
            </w:tcBorders>
            <w:shd w:val="clear" w:color="auto" w:fill="auto"/>
            <w:vAlign w:val="center"/>
          </w:tcPr>
          <w:p w14:paraId="2D3A69D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社</w:t>
            </w:r>
          </w:p>
          <w:p w14:paraId="4CD4214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会</w:t>
            </w:r>
          </w:p>
          <w:p w14:paraId="0853C75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事</w:t>
            </w:r>
          </w:p>
          <w:p w14:paraId="198F535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务</w:t>
            </w:r>
          </w:p>
          <w:p w14:paraId="2506DEBE">
            <w:pPr>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局</w:t>
            </w:r>
          </w:p>
        </w:tc>
        <w:tc>
          <w:tcPr>
            <w:tcW w:w="1755" w:type="dxa"/>
            <w:tcBorders>
              <w:tl2br w:val="nil"/>
              <w:tr2bl w:val="nil"/>
            </w:tcBorders>
            <w:shd w:val="clear" w:color="auto" w:fill="auto"/>
            <w:vAlign w:val="center"/>
          </w:tcPr>
          <w:p w14:paraId="710CE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设置卫星地面接收设施接收境内卫星电视节目审批（初审）</w:t>
            </w:r>
          </w:p>
        </w:tc>
        <w:tc>
          <w:tcPr>
            <w:tcW w:w="1080" w:type="dxa"/>
            <w:tcBorders>
              <w:tl2br w:val="nil"/>
              <w:tr2bl w:val="nil"/>
            </w:tcBorders>
            <w:shd w:val="clear" w:color="auto" w:fill="auto"/>
            <w:noWrap/>
            <w:vAlign w:val="center"/>
          </w:tcPr>
          <w:p w14:paraId="4B52F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241EE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66CF4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76176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7302620B">
            <w:pPr>
              <w:jc w:val="center"/>
              <w:rPr>
                <w:rFonts w:hint="eastAsia" w:ascii="宋体" w:hAnsi="宋体" w:eastAsia="宋体" w:cs="宋体"/>
                <w:i w:val="0"/>
                <w:iCs w:val="0"/>
                <w:color w:val="000000"/>
                <w:sz w:val="18"/>
                <w:szCs w:val="18"/>
                <w:u w:val="none"/>
              </w:rPr>
            </w:pPr>
          </w:p>
        </w:tc>
      </w:tr>
      <w:tr w14:paraId="47333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0363E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50" w:type="dxa"/>
            <w:vMerge w:val="continue"/>
            <w:tcBorders>
              <w:tl2br w:val="nil"/>
              <w:tr2bl w:val="nil"/>
            </w:tcBorders>
            <w:shd w:val="clear" w:color="auto" w:fill="auto"/>
            <w:vAlign w:val="center"/>
          </w:tcPr>
          <w:p w14:paraId="726638B7">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17508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接收卫星传送的境外电视节目审批（初审）</w:t>
            </w:r>
          </w:p>
        </w:tc>
        <w:tc>
          <w:tcPr>
            <w:tcW w:w="1080" w:type="dxa"/>
            <w:tcBorders>
              <w:tl2br w:val="nil"/>
              <w:tr2bl w:val="nil"/>
            </w:tcBorders>
            <w:shd w:val="clear" w:color="auto" w:fill="auto"/>
            <w:noWrap/>
            <w:vAlign w:val="center"/>
          </w:tcPr>
          <w:p w14:paraId="2FAB1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56C05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10324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7629C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5A5D0499">
            <w:pPr>
              <w:jc w:val="center"/>
              <w:rPr>
                <w:rFonts w:hint="eastAsia" w:ascii="宋体" w:hAnsi="宋体" w:eastAsia="宋体" w:cs="宋体"/>
                <w:i w:val="0"/>
                <w:iCs w:val="0"/>
                <w:color w:val="000000"/>
                <w:sz w:val="18"/>
                <w:szCs w:val="18"/>
                <w:u w:val="none"/>
              </w:rPr>
            </w:pPr>
          </w:p>
        </w:tc>
      </w:tr>
      <w:tr w14:paraId="60055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2E63A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0" w:type="dxa"/>
            <w:vMerge w:val="continue"/>
            <w:tcBorders>
              <w:tl2br w:val="nil"/>
              <w:tr2bl w:val="nil"/>
            </w:tcBorders>
            <w:shd w:val="clear" w:color="auto" w:fill="auto"/>
            <w:vAlign w:val="center"/>
          </w:tcPr>
          <w:p w14:paraId="237BD824">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27861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文物的认定</w:t>
            </w:r>
          </w:p>
        </w:tc>
        <w:tc>
          <w:tcPr>
            <w:tcW w:w="1080" w:type="dxa"/>
            <w:tcBorders>
              <w:tl2br w:val="nil"/>
              <w:tr2bl w:val="nil"/>
            </w:tcBorders>
            <w:shd w:val="clear" w:color="auto" w:fill="auto"/>
            <w:noWrap/>
            <w:vAlign w:val="center"/>
          </w:tcPr>
          <w:p w14:paraId="665D1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0FE83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34D6C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49A5C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428BB22B">
            <w:pPr>
              <w:jc w:val="center"/>
              <w:rPr>
                <w:rFonts w:hint="eastAsia" w:ascii="宋体" w:hAnsi="宋体" w:eastAsia="宋体" w:cs="宋体"/>
                <w:i w:val="0"/>
                <w:iCs w:val="0"/>
                <w:color w:val="000000"/>
                <w:sz w:val="18"/>
                <w:szCs w:val="18"/>
                <w:u w:val="none"/>
              </w:rPr>
            </w:pPr>
          </w:p>
        </w:tc>
      </w:tr>
      <w:tr w14:paraId="0F44C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3AB0F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50" w:type="dxa"/>
            <w:vMerge w:val="continue"/>
            <w:tcBorders>
              <w:tl2br w:val="nil"/>
              <w:tr2bl w:val="nil"/>
            </w:tcBorders>
            <w:shd w:val="clear" w:color="auto" w:fill="auto"/>
            <w:vAlign w:val="center"/>
          </w:tcPr>
          <w:p w14:paraId="13B476C6">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70F73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对从事艺术品经营活动的经营单位的备案</w:t>
            </w:r>
          </w:p>
        </w:tc>
        <w:tc>
          <w:tcPr>
            <w:tcW w:w="1080" w:type="dxa"/>
            <w:tcBorders>
              <w:tl2br w:val="nil"/>
              <w:tr2bl w:val="nil"/>
            </w:tcBorders>
            <w:shd w:val="clear" w:color="auto" w:fill="auto"/>
            <w:noWrap/>
            <w:vAlign w:val="center"/>
          </w:tcPr>
          <w:p w14:paraId="0A9C0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6C2E6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7A8B0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6600C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0C3DFD4C">
            <w:pPr>
              <w:jc w:val="center"/>
              <w:rPr>
                <w:rFonts w:hint="eastAsia" w:ascii="宋体" w:hAnsi="宋体" w:eastAsia="宋体" w:cs="宋体"/>
                <w:i w:val="0"/>
                <w:iCs w:val="0"/>
                <w:color w:val="000000"/>
                <w:sz w:val="18"/>
                <w:szCs w:val="18"/>
                <w:u w:val="none"/>
              </w:rPr>
            </w:pPr>
          </w:p>
        </w:tc>
      </w:tr>
      <w:tr w14:paraId="705FB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1BEFE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50" w:type="dxa"/>
            <w:vMerge w:val="continue"/>
            <w:tcBorders>
              <w:tl2br w:val="nil"/>
              <w:tr2bl w:val="nil"/>
            </w:tcBorders>
            <w:shd w:val="clear" w:color="auto" w:fill="auto"/>
            <w:vAlign w:val="center"/>
          </w:tcPr>
          <w:p w14:paraId="4CDC98D2">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260DC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对演出场所经营单位的备案</w:t>
            </w:r>
          </w:p>
        </w:tc>
        <w:tc>
          <w:tcPr>
            <w:tcW w:w="1080" w:type="dxa"/>
            <w:tcBorders>
              <w:tl2br w:val="nil"/>
              <w:tr2bl w:val="nil"/>
            </w:tcBorders>
            <w:shd w:val="clear" w:color="auto" w:fill="auto"/>
            <w:noWrap/>
            <w:vAlign w:val="center"/>
          </w:tcPr>
          <w:p w14:paraId="1D2C2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080" w:type="dxa"/>
            <w:tcBorders>
              <w:tl2br w:val="nil"/>
              <w:tr2bl w:val="nil"/>
            </w:tcBorders>
            <w:shd w:val="clear" w:color="auto" w:fill="auto"/>
            <w:noWrap/>
            <w:vAlign w:val="center"/>
          </w:tcPr>
          <w:p w14:paraId="01BA4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7C181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5BDA6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11A2615C">
            <w:pPr>
              <w:jc w:val="center"/>
              <w:rPr>
                <w:rFonts w:hint="eastAsia" w:ascii="宋体" w:hAnsi="宋体" w:eastAsia="宋体" w:cs="宋体"/>
                <w:i w:val="0"/>
                <w:iCs w:val="0"/>
                <w:color w:val="000000"/>
                <w:sz w:val="18"/>
                <w:szCs w:val="18"/>
                <w:u w:val="none"/>
              </w:rPr>
            </w:pPr>
          </w:p>
        </w:tc>
      </w:tr>
      <w:tr w14:paraId="0049E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6833F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50" w:type="dxa"/>
            <w:vMerge w:val="continue"/>
            <w:tcBorders>
              <w:tl2br w:val="nil"/>
              <w:tr2bl w:val="nil"/>
            </w:tcBorders>
            <w:shd w:val="clear" w:color="auto" w:fill="auto"/>
            <w:vAlign w:val="center"/>
          </w:tcPr>
          <w:p w14:paraId="34B376A8">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33951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馆藏文物管理制度备案</w:t>
            </w:r>
          </w:p>
        </w:tc>
        <w:tc>
          <w:tcPr>
            <w:tcW w:w="1080" w:type="dxa"/>
            <w:tcBorders>
              <w:tl2br w:val="nil"/>
              <w:tr2bl w:val="nil"/>
            </w:tcBorders>
            <w:shd w:val="clear" w:color="auto" w:fill="auto"/>
            <w:noWrap/>
            <w:vAlign w:val="center"/>
          </w:tcPr>
          <w:p w14:paraId="0A469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080" w:type="dxa"/>
            <w:tcBorders>
              <w:tl2br w:val="nil"/>
              <w:tr2bl w:val="nil"/>
            </w:tcBorders>
            <w:shd w:val="clear" w:color="auto" w:fill="auto"/>
            <w:noWrap/>
            <w:vAlign w:val="center"/>
          </w:tcPr>
          <w:p w14:paraId="54DAC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1B528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4B779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24BBB4C3">
            <w:pPr>
              <w:jc w:val="center"/>
              <w:rPr>
                <w:rFonts w:hint="eastAsia" w:ascii="宋体" w:hAnsi="宋体" w:eastAsia="宋体" w:cs="宋体"/>
                <w:i w:val="0"/>
                <w:iCs w:val="0"/>
                <w:color w:val="000000"/>
                <w:sz w:val="18"/>
                <w:szCs w:val="18"/>
                <w:u w:val="none"/>
              </w:rPr>
            </w:pPr>
          </w:p>
        </w:tc>
      </w:tr>
      <w:tr w14:paraId="39C26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5596D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0" w:type="dxa"/>
            <w:vMerge w:val="continue"/>
            <w:tcBorders>
              <w:tl2br w:val="nil"/>
              <w:tr2bl w:val="nil"/>
            </w:tcBorders>
            <w:shd w:val="clear" w:color="auto" w:fill="auto"/>
            <w:vAlign w:val="center"/>
          </w:tcPr>
          <w:p w14:paraId="29771AFF">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29BD5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博物馆举办陈列展览的备案</w:t>
            </w:r>
          </w:p>
        </w:tc>
        <w:tc>
          <w:tcPr>
            <w:tcW w:w="1080" w:type="dxa"/>
            <w:tcBorders>
              <w:tl2br w:val="nil"/>
              <w:tr2bl w:val="nil"/>
            </w:tcBorders>
            <w:shd w:val="clear" w:color="auto" w:fill="auto"/>
            <w:noWrap/>
            <w:vAlign w:val="center"/>
          </w:tcPr>
          <w:p w14:paraId="5EA16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080" w:type="dxa"/>
            <w:tcBorders>
              <w:tl2br w:val="nil"/>
              <w:tr2bl w:val="nil"/>
            </w:tcBorders>
            <w:shd w:val="clear" w:color="auto" w:fill="auto"/>
            <w:noWrap/>
            <w:vAlign w:val="center"/>
          </w:tcPr>
          <w:p w14:paraId="1B645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72CC1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000DA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098F8734">
            <w:pPr>
              <w:jc w:val="center"/>
              <w:rPr>
                <w:rFonts w:hint="eastAsia" w:ascii="宋体" w:hAnsi="宋体" w:eastAsia="宋体" w:cs="宋体"/>
                <w:i w:val="0"/>
                <w:iCs w:val="0"/>
                <w:color w:val="000000"/>
                <w:sz w:val="18"/>
                <w:szCs w:val="18"/>
                <w:u w:val="none"/>
              </w:rPr>
            </w:pPr>
          </w:p>
        </w:tc>
      </w:tr>
      <w:tr w14:paraId="18EA3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6EBBD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50" w:type="dxa"/>
            <w:vMerge w:val="restart"/>
            <w:tcBorders>
              <w:tl2br w:val="nil"/>
              <w:tr2bl w:val="nil"/>
            </w:tcBorders>
            <w:shd w:val="clear" w:color="auto" w:fill="auto"/>
            <w:vAlign w:val="center"/>
          </w:tcPr>
          <w:p w14:paraId="7CCEBB3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社</w:t>
            </w:r>
          </w:p>
          <w:p w14:paraId="6805AFE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会</w:t>
            </w:r>
          </w:p>
          <w:p w14:paraId="20D4AA5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事</w:t>
            </w:r>
          </w:p>
          <w:p w14:paraId="35B8F4D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务</w:t>
            </w:r>
          </w:p>
          <w:p w14:paraId="18EAB781">
            <w:pPr>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局</w:t>
            </w:r>
          </w:p>
        </w:tc>
        <w:tc>
          <w:tcPr>
            <w:tcW w:w="1755" w:type="dxa"/>
            <w:tcBorders>
              <w:tl2br w:val="nil"/>
              <w:tr2bl w:val="nil"/>
            </w:tcBorders>
            <w:shd w:val="clear" w:color="auto" w:fill="auto"/>
            <w:vAlign w:val="center"/>
          </w:tcPr>
          <w:p w14:paraId="5883C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举办体育竞赛活动的许可（全县性）</w:t>
            </w:r>
          </w:p>
        </w:tc>
        <w:tc>
          <w:tcPr>
            <w:tcW w:w="1080" w:type="dxa"/>
            <w:tcBorders>
              <w:tl2br w:val="nil"/>
              <w:tr2bl w:val="nil"/>
            </w:tcBorders>
            <w:shd w:val="clear" w:color="auto" w:fill="auto"/>
            <w:noWrap/>
            <w:vAlign w:val="center"/>
          </w:tcPr>
          <w:p w14:paraId="0E3C3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50203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05B9E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16713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370049BC">
            <w:pPr>
              <w:jc w:val="center"/>
              <w:rPr>
                <w:rFonts w:hint="eastAsia" w:ascii="宋体" w:hAnsi="宋体" w:eastAsia="宋体" w:cs="宋体"/>
                <w:i w:val="0"/>
                <w:iCs w:val="0"/>
                <w:color w:val="000000"/>
                <w:sz w:val="18"/>
                <w:szCs w:val="18"/>
                <w:u w:val="none"/>
              </w:rPr>
            </w:pPr>
          </w:p>
        </w:tc>
      </w:tr>
      <w:tr w14:paraId="17F2C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67F6B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50" w:type="dxa"/>
            <w:vMerge w:val="continue"/>
            <w:tcBorders>
              <w:tl2br w:val="nil"/>
              <w:tr2bl w:val="nil"/>
            </w:tcBorders>
            <w:shd w:val="clear" w:color="auto" w:fill="auto"/>
            <w:vAlign w:val="center"/>
          </w:tcPr>
          <w:p w14:paraId="3AB8DEF3">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0FE44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体育类民办非企业单位申请成立和变更审查</w:t>
            </w:r>
          </w:p>
        </w:tc>
        <w:tc>
          <w:tcPr>
            <w:tcW w:w="1080" w:type="dxa"/>
            <w:tcBorders>
              <w:tl2br w:val="nil"/>
              <w:tr2bl w:val="nil"/>
            </w:tcBorders>
            <w:shd w:val="clear" w:color="auto" w:fill="auto"/>
            <w:noWrap/>
            <w:vAlign w:val="center"/>
          </w:tcPr>
          <w:p w14:paraId="1F58D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7E046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25C97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38C87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4E5DD049">
            <w:pPr>
              <w:jc w:val="center"/>
              <w:rPr>
                <w:rFonts w:hint="eastAsia" w:ascii="宋体" w:hAnsi="宋体" w:eastAsia="宋体" w:cs="宋体"/>
                <w:i w:val="0"/>
                <w:iCs w:val="0"/>
                <w:color w:val="000000"/>
                <w:sz w:val="18"/>
                <w:szCs w:val="18"/>
                <w:u w:val="none"/>
              </w:rPr>
            </w:pPr>
          </w:p>
        </w:tc>
      </w:tr>
      <w:tr w14:paraId="327C6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585F0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50" w:type="dxa"/>
            <w:vMerge w:val="continue"/>
            <w:tcBorders>
              <w:tl2br w:val="nil"/>
              <w:tr2bl w:val="nil"/>
            </w:tcBorders>
            <w:shd w:val="clear" w:color="auto" w:fill="auto"/>
            <w:vAlign w:val="center"/>
          </w:tcPr>
          <w:p w14:paraId="4EC20A5B">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385FA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体育社会团体申请成立和变更审查</w:t>
            </w:r>
          </w:p>
        </w:tc>
        <w:tc>
          <w:tcPr>
            <w:tcW w:w="1080" w:type="dxa"/>
            <w:tcBorders>
              <w:tl2br w:val="nil"/>
              <w:tr2bl w:val="nil"/>
            </w:tcBorders>
            <w:shd w:val="clear" w:color="auto" w:fill="auto"/>
            <w:noWrap/>
            <w:vAlign w:val="center"/>
          </w:tcPr>
          <w:p w14:paraId="11E91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1238E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1A1AF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42E80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5178E2CA">
            <w:pPr>
              <w:jc w:val="center"/>
              <w:rPr>
                <w:rFonts w:hint="eastAsia" w:ascii="宋体" w:hAnsi="宋体" w:eastAsia="宋体" w:cs="宋体"/>
                <w:i w:val="0"/>
                <w:iCs w:val="0"/>
                <w:color w:val="000000"/>
                <w:sz w:val="18"/>
                <w:szCs w:val="18"/>
                <w:u w:val="none"/>
              </w:rPr>
            </w:pPr>
          </w:p>
        </w:tc>
      </w:tr>
      <w:tr w14:paraId="6FE07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0C40D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50" w:type="dxa"/>
            <w:vMerge w:val="continue"/>
            <w:tcBorders>
              <w:tl2br w:val="nil"/>
              <w:tr2bl w:val="nil"/>
            </w:tcBorders>
            <w:shd w:val="clear" w:color="auto" w:fill="auto"/>
            <w:vAlign w:val="center"/>
          </w:tcPr>
          <w:p w14:paraId="20126E5D">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4951E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对经营高危险性体育项目的许可</w:t>
            </w:r>
          </w:p>
        </w:tc>
        <w:tc>
          <w:tcPr>
            <w:tcW w:w="1080" w:type="dxa"/>
            <w:tcBorders>
              <w:tl2br w:val="nil"/>
              <w:tr2bl w:val="nil"/>
            </w:tcBorders>
            <w:shd w:val="clear" w:color="auto" w:fill="auto"/>
            <w:noWrap/>
            <w:vAlign w:val="center"/>
          </w:tcPr>
          <w:p w14:paraId="0CBA0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13586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257E1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65264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6FE079F1">
            <w:pPr>
              <w:jc w:val="center"/>
              <w:rPr>
                <w:rFonts w:hint="eastAsia" w:ascii="宋体" w:hAnsi="宋体" w:eastAsia="宋体" w:cs="宋体"/>
                <w:i w:val="0"/>
                <w:iCs w:val="0"/>
                <w:color w:val="000000"/>
                <w:sz w:val="18"/>
                <w:szCs w:val="18"/>
                <w:u w:val="none"/>
              </w:rPr>
            </w:pPr>
          </w:p>
        </w:tc>
      </w:tr>
      <w:tr w14:paraId="62FAB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19476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50" w:type="dxa"/>
            <w:vMerge w:val="continue"/>
            <w:tcBorders>
              <w:tl2br w:val="nil"/>
              <w:tr2bl w:val="nil"/>
            </w:tcBorders>
            <w:shd w:val="clear" w:color="auto" w:fill="auto"/>
            <w:vAlign w:val="center"/>
          </w:tcPr>
          <w:p w14:paraId="6253761E">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16B5B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举办健身气功活动及</w:t>
            </w:r>
          </w:p>
          <w:p w14:paraId="3F21E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设立站点审批</w:t>
            </w:r>
          </w:p>
        </w:tc>
        <w:tc>
          <w:tcPr>
            <w:tcW w:w="1080" w:type="dxa"/>
            <w:tcBorders>
              <w:tl2br w:val="nil"/>
              <w:tr2bl w:val="nil"/>
            </w:tcBorders>
            <w:shd w:val="clear" w:color="auto" w:fill="auto"/>
            <w:noWrap/>
            <w:vAlign w:val="center"/>
          </w:tcPr>
          <w:p w14:paraId="20722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00C07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18727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02E48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6FE934FE">
            <w:pPr>
              <w:jc w:val="center"/>
              <w:rPr>
                <w:rFonts w:hint="eastAsia" w:ascii="宋体" w:hAnsi="宋体" w:eastAsia="宋体" w:cs="宋体"/>
                <w:i w:val="0"/>
                <w:iCs w:val="0"/>
                <w:color w:val="000000"/>
                <w:sz w:val="18"/>
                <w:szCs w:val="18"/>
                <w:u w:val="none"/>
              </w:rPr>
            </w:pPr>
          </w:p>
        </w:tc>
      </w:tr>
      <w:tr w14:paraId="25494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0C1DB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50" w:type="dxa"/>
            <w:vMerge w:val="continue"/>
            <w:tcBorders>
              <w:tl2br w:val="nil"/>
              <w:tr2bl w:val="nil"/>
            </w:tcBorders>
            <w:shd w:val="clear" w:color="auto" w:fill="auto"/>
            <w:vAlign w:val="center"/>
          </w:tcPr>
          <w:p w14:paraId="44FC7D9F">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13956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运动员等级称号的授予（三级）</w:t>
            </w:r>
          </w:p>
        </w:tc>
        <w:tc>
          <w:tcPr>
            <w:tcW w:w="1080" w:type="dxa"/>
            <w:tcBorders>
              <w:tl2br w:val="nil"/>
              <w:tr2bl w:val="nil"/>
            </w:tcBorders>
            <w:shd w:val="clear" w:color="auto" w:fill="auto"/>
            <w:noWrap/>
            <w:vAlign w:val="center"/>
          </w:tcPr>
          <w:p w14:paraId="3C729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080" w:type="dxa"/>
            <w:tcBorders>
              <w:tl2br w:val="nil"/>
              <w:tr2bl w:val="nil"/>
            </w:tcBorders>
            <w:shd w:val="clear" w:color="auto" w:fill="auto"/>
            <w:noWrap/>
            <w:vAlign w:val="center"/>
          </w:tcPr>
          <w:p w14:paraId="2C5CF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61CB7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07B26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71D53043">
            <w:pPr>
              <w:jc w:val="center"/>
              <w:rPr>
                <w:rFonts w:hint="eastAsia" w:ascii="宋体" w:hAnsi="宋体" w:eastAsia="宋体" w:cs="宋体"/>
                <w:i w:val="0"/>
                <w:iCs w:val="0"/>
                <w:color w:val="000000"/>
                <w:sz w:val="18"/>
                <w:szCs w:val="18"/>
                <w:u w:val="none"/>
              </w:rPr>
            </w:pPr>
          </w:p>
        </w:tc>
      </w:tr>
      <w:tr w14:paraId="0F2FD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7CE16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50" w:type="dxa"/>
            <w:vMerge w:val="restart"/>
            <w:tcBorders>
              <w:tl2br w:val="nil"/>
              <w:tr2bl w:val="nil"/>
            </w:tcBorders>
            <w:shd w:val="clear" w:color="auto" w:fill="auto"/>
            <w:vAlign w:val="center"/>
          </w:tcPr>
          <w:p w14:paraId="1653441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社</w:t>
            </w:r>
          </w:p>
          <w:p w14:paraId="2131D56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会</w:t>
            </w:r>
          </w:p>
          <w:p w14:paraId="3E12EAF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事</w:t>
            </w:r>
          </w:p>
          <w:p w14:paraId="2725077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务</w:t>
            </w:r>
          </w:p>
          <w:p w14:paraId="6CB96EE7">
            <w:pPr>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局</w:t>
            </w:r>
          </w:p>
        </w:tc>
        <w:tc>
          <w:tcPr>
            <w:tcW w:w="1755" w:type="dxa"/>
            <w:tcBorders>
              <w:tl2br w:val="nil"/>
              <w:tr2bl w:val="nil"/>
            </w:tcBorders>
            <w:shd w:val="clear" w:color="auto" w:fill="auto"/>
            <w:vAlign w:val="center"/>
          </w:tcPr>
          <w:p w14:paraId="38A60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社会体育指导员称号授予（三级）</w:t>
            </w:r>
          </w:p>
        </w:tc>
        <w:tc>
          <w:tcPr>
            <w:tcW w:w="1080" w:type="dxa"/>
            <w:tcBorders>
              <w:tl2br w:val="nil"/>
              <w:tr2bl w:val="nil"/>
            </w:tcBorders>
            <w:shd w:val="clear" w:color="auto" w:fill="auto"/>
            <w:noWrap/>
            <w:vAlign w:val="center"/>
          </w:tcPr>
          <w:p w14:paraId="742EF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080" w:type="dxa"/>
            <w:tcBorders>
              <w:tl2br w:val="nil"/>
              <w:tr2bl w:val="nil"/>
            </w:tcBorders>
            <w:shd w:val="clear" w:color="auto" w:fill="auto"/>
            <w:noWrap/>
            <w:vAlign w:val="center"/>
          </w:tcPr>
          <w:p w14:paraId="727BE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54508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187FA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40215096">
            <w:pPr>
              <w:jc w:val="center"/>
              <w:rPr>
                <w:rFonts w:hint="eastAsia" w:ascii="宋体" w:hAnsi="宋体" w:eastAsia="宋体" w:cs="宋体"/>
                <w:i w:val="0"/>
                <w:iCs w:val="0"/>
                <w:color w:val="000000"/>
                <w:sz w:val="18"/>
                <w:szCs w:val="18"/>
                <w:u w:val="none"/>
              </w:rPr>
            </w:pPr>
          </w:p>
        </w:tc>
      </w:tr>
      <w:tr w14:paraId="0F6D2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1D168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50" w:type="dxa"/>
            <w:vMerge w:val="continue"/>
            <w:tcBorders>
              <w:tl2br w:val="nil"/>
              <w:tr2bl w:val="nil"/>
            </w:tcBorders>
            <w:shd w:val="clear" w:color="auto" w:fill="auto"/>
            <w:vAlign w:val="center"/>
          </w:tcPr>
          <w:p w14:paraId="7FB642C9">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7F8E4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公共场所（除公园、体育场馆、公共交通工具外）卫生许可</w:t>
            </w:r>
          </w:p>
        </w:tc>
        <w:tc>
          <w:tcPr>
            <w:tcW w:w="1080" w:type="dxa"/>
            <w:tcBorders>
              <w:tl2br w:val="nil"/>
              <w:tr2bl w:val="nil"/>
            </w:tcBorders>
            <w:shd w:val="clear" w:color="auto" w:fill="auto"/>
            <w:noWrap/>
            <w:vAlign w:val="center"/>
          </w:tcPr>
          <w:p w14:paraId="0E048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7FF76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435F8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0E1FF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51DCE8AB">
            <w:pPr>
              <w:jc w:val="center"/>
              <w:rPr>
                <w:rFonts w:hint="eastAsia" w:ascii="宋体" w:hAnsi="宋体" w:eastAsia="宋体" w:cs="宋体"/>
                <w:i w:val="0"/>
                <w:iCs w:val="0"/>
                <w:color w:val="000000"/>
                <w:sz w:val="18"/>
                <w:szCs w:val="18"/>
                <w:u w:val="none"/>
              </w:rPr>
            </w:pPr>
          </w:p>
        </w:tc>
      </w:tr>
      <w:tr w14:paraId="13F08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5FF80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750" w:type="dxa"/>
            <w:vMerge w:val="restart"/>
            <w:tcBorders>
              <w:tl2br w:val="nil"/>
              <w:tr2bl w:val="nil"/>
            </w:tcBorders>
            <w:shd w:val="clear" w:color="auto" w:fill="auto"/>
            <w:vAlign w:val="center"/>
          </w:tcPr>
          <w:p w14:paraId="4C56FD7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食</w:t>
            </w:r>
          </w:p>
          <w:p w14:paraId="19A1FA0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药</w:t>
            </w:r>
          </w:p>
          <w:p w14:paraId="2410B80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工</w:t>
            </w:r>
          </w:p>
          <w:p w14:paraId="7D659FD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商</w:t>
            </w:r>
          </w:p>
          <w:p w14:paraId="6F4B2F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局</w:t>
            </w:r>
          </w:p>
        </w:tc>
        <w:tc>
          <w:tcPr>
            <w:tcW w:w="1755" w:type="dxa"/>
            <w:tcBorders>
              <w:tl2br w:val="nil"/>
              <w:tr2bl w:val="nil"/>
            </w:tcBorders>
            <w:shd w:val="clear" w:color="auto" w:fill="auto"/>
            <w:vAlign w:val="center"/>
          </w:tcPr>
          <w:p w14:paraId="7C2B1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企业设立、变更、注销登记</w:t>
            </w:r>
          </w:p>
        </w:tc>
        <w:tc>
          <w:tcPr>
            <w:tcW w:w="1080" w:type="dxa"/>
            <w:tcBorders>
              <w:tl2br w:val="nil"/>
              <w:tr2bl w:val="nil"/>
            </w:tcBorders>
            <w:shd w:val="clear" w:color="auto" w:fill="auto"/>
            <w:noWrap/>
            <w:vAlign w:val="center"/>
          </w:tcPr>
          <w:p w14:paraId="1F33C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6245A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30DC0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58D32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1.制作告知承诺书，提供范本，一次性告知所需材料。2.未达条件的，限期整改，督促办理。3.加强事中事后监管，纠正不符合许可条件行为，有效防范风险。</w:t>
            </w:r>
          </w:p>
        </w:tc>
        <w:tc>
          <w:tcPr>
            <w:tcW w:w="638" w:type="dxa"/>
            <w:tcBorders>
              <w:tl2br w:val="nil"/>
              <w:tr2bl w:val="nil"/>
            </w:tcBorders>
            <w:shd w:val="clear" w:color="auto" w:fill="auto"/>
            <w:vAlign w:val="center"/>
          </w:tcPr>
          <w:p w14:paraId="1A5360B3">
            <w:pPr>
              <w:jc w:val="center"/>
              <w:rPr>
                <w:rFonts w:hint="eastAsia" w:ascii="宋体" w:hAnsi="宋体" w:eastAsia="宋体" w:cs="宋体"/>
                <w:i w:val="0"/>
                <w:iCs w:val="0"/>
                <w:color w:val="000000"/>
                <w:sz w:val="18"/>
                <w:szCs w:val="18"/>
                <w:u w:val="none"/>
              </w:rPr>
            </w:pPr>
          </w:p>
        </w:tc>
      </w:tr>
      <w:tr w14:paraId="6EE7E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159DF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50" w:type="dxa"/>
            <w:vMerge w:val="continue"/>
            <w:tcBorders>
              <w:tl2br w:val="nil"/>
              <w:tr2bl w:val="nil"/>
            </w:tcBorders>
            <w:shd w:val="clear" w:color="auto" w:fill="auto"/>
            <w:vAlign w:val="center"/>
          </w:tcPr>
          <w:p w14:paraId="2720E89A">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375B5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个体工商户登记</w:t>
            </w:r>
          </w:p>
        </w:tc>
        <w:tc>
          <w:tcPr>
            <w:tcW w:w="1080" w:type="dxa"/>
            <w:tcBorders>
              <w:tl2br w:val="nil"/>
              <w:tr2bl w:val="nil"/>
            </w:tcBorders>
            <w:shd w:val="clear" w:color="auto" w:fill="auto"/>
            <w:noWrap/>
            <w:vAlign w:val="center"/>
          </w:tcPr>
          <w:p w14:paraId="52358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1883F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4CFF9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382FD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1.制作告知承诺书，提供范本，一次性告知所需材料。2.未达条件的，限期整改，督促办理。3.加强事中事后监管，纠正不符合许可条件行为，有效防范风险。</w:t>
            </w:r>
          </w:p>
        </w:tc>
        <w:tc>
          <w:tcPr>
            <w:tcW w:w="638" w:type="dxa"/>
            <w:tcBorders>
              <w:tl2br w:val="nil"/>
              <w:tr2bl w:val="nil"/>
            </w:tcBorders>
            <w:shd w:val="clear" w:color="auto" w:fill="auto"/>
            <w:vAlign w:val="center"/>
          </w:tcPr>
          <w:p w14:paraId="32969434">
            <w:pPr>
              <w:jc w:val="center"/>
              <w:rPr>
                <w:rFonts w:hint="eastAsia" w:ascii="宋体" w:hAnsi="宋体" w:eastAsia="宋体" w:cs="宋体"/>
                <w:i w:val="0"/>
                <w:iCs w:val="0"/>
                <w:color w:val="000000"/>
                <w:sz w:val="18"/>
                <w:szCs w:val="18"/>
                <w:u w:val="none"/>
              </w:rPr>
            </w:pPr>
          </w:p>
        </w:tc>
      </w:tr>
      <w:tr w14:paraId="4D9F2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7917D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750" w:type="dxa"/>
            <w:vMerge w:val="continue"/>
            <w:tcBorders>
              <w:tl2br w:val="nil"/>
              <w:tr2bl w:val="nil"/>
            </w:tcBorders>
            <w:shd w:val="clear" w:color="auto" w:fill="auto"/>
            <w:vAlign w:val="center"/>
          </w:tcPr>
          <w:p w14:paraId="63683F5D">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1DBAE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w:t>
            </w:r>
          </w:p>
        </w:tc>
        <w:tc>
          <w:tcPr>
            <w:tcW w:w="1080" w:type="dxa"/>
            <w:tcBorders>
              <w:tl2br w:val="nil"/>
              <w:tr2bl w:val="nil"/>
            </w:tcBorders>
            <w:shd w:val="clear" w:color="auto" w:fill="auto"/>
            <w:noWrap/>
            <w:vAlign w:val="center"/>
          </w:tcPr>
          <w:p w14:paraId="5698D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7DD2C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1FFFF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7AFF9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1.制作告知承诺书，提供范本，一次性告知所需材料。2.未达条件的，限期整改，督促办理。3.加强事中事后监管，纠正不符合许可条件行为，有效防范风险。</w:t>
            </w:r>
          </w:p>
        </w:tc>
        <w:tc>
          <w:tcPr>
            <w:tcW w:w="638" w:type="dxa"/>
            <w:tcBorders>
              <w:tl2br w:val="nil"/>
              <w:tr2bl w:val="nil"/>
            </w:tcBorders>
            <w:shd w:val="clear" w:color="auto" w:fill="auto"/>
            <w:vAlign w:val="center"/>
          </w:tcPr>
          <w:p w14:paraId="4453D244">
            <w:pPr>
              <w:jc w:val="center"/>
              <w:rPr>
                <w:rFonts w:hint="eastAsia" w:ascii="宋体" w:hAnsi="宋体" w:eastAsia="宋体" w:cs="宋体"/>
                <w:i w:val="0"/>
                <w:iCs w:val="0"/>
                <w:color w:val="000000"/>
                <w:sz w:val="18"/>
                <w:szCs w:val="18"/>
                <w:u w:val="none"/>
              </w:rPr>
            </w:pPr>
          </w:p>
        </w:tc>
      </w:tr>
      <w:tr w14:paraId="5F43A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473C7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50" w:type="dxa"/>
            <w:vMerge w:val="restart"/>
            <w:tcBorders>
              <w:tl2br w:val="nil"/>
              <w:tr2bl w:val="nil"/>
            </w:tcBorders>
            <w:shd w:val="clear" w:color="auto" w:fill="auto"/>
            <w:vAlign w:val="center"/>
          </w:tcPr>
          <w:p w14:paraId="03BB3B4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安</w:t>
            </w:r>
          </w:p>
          <w:p w14:paraId="0BCF350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监</w:t>
            </w:r>
          </w:p>
          <w:p w14:paraId="737CFF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局</w:t>
            </w:r>
          </w:p>
        </w:tc>
        <w:tc>
          <w:tcPr>
            <w:tcW w:w="1755" w:type="dxa"/>
            <w:tcBorders>
              <w:tl2br w:val="nil"/>
              <w:tr2bl w:val="nil"/>
            </w:tcBorders>
            <w:shd w:val="clear" w:color="auto" w:fill="auto"/>
            <w:vAlign w:val="center"/>
          </w:tcPr>
          <w:p w14:paraId="31B4FF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危险化学品经营</w:t>
            </w:r>
          </w:p>
          <w:p w14:paraId="0B61F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许可证核发</w:t>
            </w:r>
          </w:p>
        </w:tc>
        <w:tc>
          <w:tcPr>
            <w:tcW w:w="1080" w:type="dxa"/>
            <w:tcBorders>
              <w:tl2br w:val="nil"/>
              <w:tr2bl w:val="nil"/>
            </w:tcBorders>
            <w:shd w:val="clear" w:color="auto" w:fill="auto"/>
            <w:noWrap/>
            <w:vAlign w:val="center"/>
          </w:tcPr>
          <w:p w14:paraId="63BA9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7FA3F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5ED4D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4433C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1.制作告知承诺书，提供范本，一次性告知所需材料。2.未达条件的，不得从事经营活动。</w:t>
            </w:r>
          </w:p>
        </w:tc>
        <w:tc>
          <w:tcPr>
            <w:tcW w:w="638" w:type="dxa"/>
            <w:tcBorders>
              <w:tl2br w:val="nil"/>
              <w:tr2bl w:val="nil"/>
            </w:tcBorders>
            <w:shd w:val="clear" w:color="auto" w:fill="auto"/>
            <w:noWrap/>
            <w:vAlign w:val="center"/>
          </w:tcPr>
          <w:p w14:paraId="4D298474">
            <w:pPr>
              <w:jc w:val="center"/>
              <w:rPr>
                <w:rFonts w:hint="eastAsia" w:ascii="宋体" w:hAnsi="宋体" w:eastAsia="宋体" w:cs="宋体"/>
                <w:i w:val="0"/>
                <w:iCs w:val="0"/>
                <w:color w:val="000000"/>
                <w:sz w:val="18"/>
                <w:szCs w:val="18"/>
                <w:u w:val="none"/>
              </w:rPr>
            </w:pPr>
          </w:p>
        </w:tc>
      </w:tr>
      <w:tr w14:paraId="5ED04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05FAC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750" w:type="dxa"/>
            <w:vMerge w:val="continue"/>
            <w:tcBorders>
              <w:tl2br w:val="nil"/>
              <w:tr2bl w:val="nil"/>
            </w:tcBorders>
            <w:shd w:val="clear" w:color="auto" w:fill="auto"/>
            <w:vAlign w:val="center"/>
          </w:tcPr>
          <w:p w14:paraId="04B04F78">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1C83E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经营第三类非药品类易制毒化学品备案</w:t>
            </w:r>
          </w:p>
        </w:tc>
        <w:tc>
          <w:tcPr>
            <w:tcW w:w="1080" w:type="dxa"/>
            <w:tcBorders>
              <w:tl2br w:val="nil"/>
              <w:tr2bl w:val="nil"/>
            </w:tcBorders>
            <w:shd w:val="clear" w:color="auto" w:fill="auto"/>
            <w:noWrap/>
            <w:vAlign w:val="center"/>
          </w:tcPr>
          <w:p w14:paraId="480F61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w:t>
            </w:r>
          </w:p>
          <w:p w14:paraId="4A2A9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行政权力</w:t>
            </w:r>
          </w:p>
        </w:tc>
        <w:tc>
          <w:tcPr>
            <w:tcW w:w="1080" w:type="dxa"/>
            <w:tcBorders>
              <w:tl2br w:val="nil"/>
              <w:tr2bl w:val="nil"/>
            </w:tcBorders>
            <w:shd w:val="clear" w:color="auto" w:fill="auto"/>
            <w:noWrap/>
            <w:vAlign w:val="center"/>
          </w:tcPr>
          <w:p w14:paraId="58BBF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751F2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7D24A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1.制作告知承诺书，提供范本，一次性告知所需材料。2.未达条件的，不得从事经营活动。</w:t>
            </w:r>
          </w:p>
        </w:tc>
        <w:tc>
          <w:tcPr>
            <w:tcW w:w="638" w:type="dxa"/>
            <w:tcBorders>
              <w:tl2br w:val="nil"/>
              <w:tr2bl w:val="nil"/>
            </w:tcBorders>
            <w:shd w:val="clear" w:color="auto" w:fill="auto"/>
            <w:noWrap/>
            <w:vAlign w:val="center"/>
          </w:tcPr>
          <w:p w14:paraId="161B946D">
            <w:pPr>
              <w:jc w:val="center"/>
              <w:rPr>
                <w:rFonts w:hint="eastAsia" w:ascii="宋体" w:hAnsi="宋体" w:eastAsia="宋体" w:cs="宋体"/>
                <w:i w:val="0"/>
                <w:iCs w:val="0"/>
                <w:color w:val="000000"/>
                <w:sz w:val="18"/>
                <w:szCs w:val="18"/>
                <w:u w:val="none"/>
              </w:rPr>
            </w:pPr>
          </w:p>
        </w:tc>
      </w:tr>
    </w:tbl>
    <w:p w14:paraId="4409510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bookmarkEnd w:id="0"/>
    <w:sectPr>
      <w:pgSz w:w="11906" w:h="16838"/>
      <w:pgMar w:top="1701" w:right="1531" w:bottom="1701"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4C6A0"/>
    <w:multiLevelType w:val="singleLevel"/>
    <w:tmpl w:val="83C4C6A0"/>
    <w:lvl w:ilvl="0" w:tentative="0">
      <w:start w:val="1"/>
      <w:numFmt w:val="chineseCounting"/>
      <w:suff w:val="nothing"/>
      <w:lvlText w:val="（%1）"/>
      <w:lvlJc w:val="left"/>
      <w:pPr>
        <w:ind w:left="0" w:firstLine="420"/>
      </w:pPr>
      <w:rPr>
        <w:rFonts w:hint="eastAsia"/>
      </w:rPr>
    </w:lvl>
  </w:abstractNum>
  <w:abstractNum w:abstractNumId="1">
    <w:nsid w:val="F06EACDE"/>
    <w:multiLevelType w:val="singleLevel"/>
    <w:tmpl w:val="F06EACDE"/>
    <w:lvl w:ilvl="0" w:tentative="0">
      <w:start w:val="1"/>
      <w:numFmt w:val="chineseCounting"/>
      <w:suff w:val="nothing"/>
      <w:lvlText w:val="（%1）"/>
      <w:lvlJc w:val="left"/>
      <w:pPr>
        <w:ind w:left="0" w:firstLine="420"/>
      </w:pPr>
      <w:rPr>
        <w:rFonts w:hint="eastAsia"/>
      </w:rPr>
    </w:lvl>
  </w:abstractNum>
  <w:abstractNum w:abstractNumId="2">
    <w:nsid w:val="3C1B1F0A"/>
    <w:multiLevelType w:val="singleLevel"/>
    <w:tmpl w:val="3C1B1F0A"/>
    <w:lvl w:ilvl="0" w:tentative="0">
      <w:start w:val="1"/>
      <w:numFmt w:val="chineseCounting"/>
      <w:suff w:val="nothing"/>
      <w:lvlText w:val="（%1）"/>
      <w:lvlJc w:val="left"/>
      <w:pPr>
        <w:ind w:left="0" w:firstLine="420"/>
      </w:pPr>
      <w:rPr>
        <w:rFonts w:hint="eastAsia"/>
      </w:rPr>
    </w:lvl>
  </w:abstractNum>
  <w:abstractNum w:abstractNumId="3">
    <w:nsid w:val="7F8A6155"/>
    <w:multiLevelType w:val="singleLevel"/>
    <w:tmpl w:val="7F8A6155"/>
    <w:lvl w:ilvl="0" w:tentative="0">
      <w:start w:val="1"/>
      <w:numFmt w:val="decimal"/>
      <w:suff w:val="nothing"/>
      <w:lvlText w:val="%1"/>
      <w:lvlJc w:val="center"/>
      <w:pPr>
        <w:tabs>
          <w:tab w:val="left" w:pos="0"/>
        </w:tabs>
        <w:ind w:left="0" w:firstLine="8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03201"/>
    <w:rsid w:val="00D13E12"/>
    <w:rsid w:val="017409F8"/>
    <w:rsid w:val="017C62FA"/>
    <w:rsid w:val="02740E9C"/>
    <w:rsid w:val="02E26E23"/>
    <w:rsid w:val="02E91F37"/>
    <w:rsid w:val="035040D6"/>
    <w:rsid w:val="03AE155F"/>
    <w:rsid w:val="03E00CA4"/>
    <w:rsid w:val="041C3957"/>
    <w:rsid w:val="0476390E"/>
    <w:rsid w:val="04AD6576"/>
    <w:rsid w:val="04DB26FC"/>
    <w:rsid w:val="0579402B"/>
    <w:rsid w:val="07017250"/>
    <w:rsid w:val="07932FC9"/>
    <w:rsid w:val="082A7A5C"/>
    <w:rsid w:val="08A25ED8"/>
    <w:rsid w:val="08F2092F"/>
    <w:rsid w:val="08FA4B31"/>
    <w:rsid w:val="0997596C"/>
    <w:rsid w:val="0A820EB5"/>
    <w:rsid w:val="0A910377"/>
    <w:rsid w:val="0AE07B00"/>
    <w:rsid w:val="0B0B0752"/>
    <w:rsid w:val="0B8F5797"/>
    <w:rsid w:val="0C4058AC"/>
    <w:rsid w:val="0C8B2011"/>
    <w:rsid w:val="0CB759FE"/>
    <w:rsid w:val="0CDA6A5D"/>
    <w:rsid w:val="0CFB25F0"/>
    <w:rsid w:val="0D882154"/>
    <w:rsid w:val="0DDD2D1A"/>
    <w:rsid w:val="0E642009"/>
    <w:rsid w:val="0E957B0F"/>
    <w:rsid w:val="0ED8504C"/>
    <w:rsid w:val="0F1F015F"/>
    <w:rsid w:val="0F3539B2"/>
    <w:rsid w:val="0F68366A"/>
    <w:rsid w:val="0F8B2F25"/>
    <w:rsid w:val="10583822"/>
    <w:rsid w:val="10C24678"/>
    <w:rsid w:val="112A0D24"/>
    <w:rsid w:val="12101582"/>
    <w:rsid w:val="128110A9"/>
    <w:rsid w:val="131312EA"/>
    <w:rsid w:val="131B2855"/>
    <w:rsid w:val="13382A7F"/>
    <w:rsid w:val="13563FAA"/>
    <w:rsid w:val="13961CF4"/>
    <w:rsid w:val="14AB0AED"/>
    <w:rsid w:val="15CF7530"/>
    <w:rsid w:val="169D0F75"/>
    <w:rsid w:val="17194D41"/>
    <w:rsid w:val="174362E0"/>
    <w:rsid w:val="179761F4"/>
    <w:rsid w:val="17B94E8B"/>
    <w:rsid w:val="183A7541"/>
    <w:rsid w:val="18A82B29"/>
    <w:rsid w:val="18B75334"/>
    <w:rsid w:val="18C33ADC"/>
    <w:rsid w:val="191C3E0D"/>
    <w:rsid w:val="19F818FD"/>
    <w:rsid w:val="19FC3F91"/>
    <w:rsid w:val="1A2E2452"/>
    <w:rsid w:val="1A9C34D0"/>
    <w:rsid w:val="1B120A1C"/>
    <w:rsid w:val="1BB4212B"/>
    <w:rsid w:val="1C5E3328"/>
    <w:rsid w:val="1D93074A"/>
    <w:rsid w:val="1DAA7612"/>
    <w:rsid w:val="1DCD09E7"/>
    <w:rsid w:val="1E1462EC"/>
    <w:rsid w:val="1E626D23"/>
    <w:rsid w:val="1EE140CE"/>
    <w:rsid w:val="1F691CE8"/>
    <w:rsid w:val="20105E89"/>
    <w:rsid w:val="201D6BD4"/>
    <w:rsid w:val="20475C69"/>
    <w:rsid w:val="206C50A9"/>
    <w:rsid w:val="20DB6644"/>
    <w:rsid w:val="21E678F9"/>
    <w:rsid w:val="21EA22DC"/>
    <w:rsid w:val="22AE3FCC"/>
    <w:rsid w:val="23EA6366"/>
    <w:rsid w:val="24081821"/>
    <w:rsid w:val="252424C9"/>
    <w:rsid w:val="255A1CFA"/>
    <w:rsid w:val="25976496"/>
    <w:rsid w:val="25A72F6F"/>
    <w:rsid w:val="25BD7A22"/>
    <w:rsid w:val="266D22C8"/>
    <w:rsid w:val="26A55034"/>
    <w:rsid w:val="27F32182"/>
    <w:rsid w:val="28A4747C"/>
    <w:rsid w:val="28B0604B"/>
    <w:rsid w:val="28D76B85"/>
    <w:rsid w:val="28E70B9F"/>
    <w:rsid w:val="296C1ABF"/>
    <w:rsid w:val="29CD7E14"/>
    <w:rsid w:val="29F660D9"/>
    <w:rsid w:val="29FE6EDD"/>
    <w:rsid w:val="2A022FFC"/>
    <w:rsid w:val="2A0C564A"/>
    <w:rsid w:val="2A285600"/>
    <w:rsid w:val="2A526C1A"/>
    <w:rsid w:val="2A5D1664"/>
    <w:rsid w:val="2ACF0C87"/>
    <w:rsid w:val="2B5C5B16"/>
    <w:rsid w:val="2C28214A"/>
    <w:rsid w:val="2C332F2C"/>
    <w:rsid w:val="2C487274"/>
    <w:rsid w:val="2C783A4D"/>
    <w:rsid w:val="2CE13437"/>
    <w:rsid w:val="2D0A33A4"/>
    <w:rsid w:val="2D9B5815"/>
    <w:rsid w:val="2DF225B4"/>
    <w:rsid w:val="30224BCE"/>
    <w:rsid w:val="306F488C"/>
    <w:rsid w:val="308272B3"/>
    <w:rsid w:val="30B07896"/>
    <w:rsid w:val="30C3342B"/>
    <w:rsid w:val="31221C38"/>
    <w:rsid w:val="32160827"/>
    <w:rsid w:val="32D635D1"/>
    <w:rsid w:val="33414357"/>
    <w:rsid w:val="33727E95"/>
    <w:rsid w:val="33AA6805"/>
    <w:rsid w:val="34447408"/>
    <w:rsid w:val="34B72BB2"/>
    <w:rsid w:val="34DC2429"/>
    <w:rsid w:val="35A76A1C"/>
    <w:rsid w:val="363558F0"/>
    <w:rsid w:val="36A9626A"/>
    <w:rsid w:val="37063D3C"/>
    <w:rsid w:val="3711499A"/>
    <w:rsid w:val="37925307"/>
    <w:rsid w:val="379B29A2"/>
    <w:rsid w:val="37CC4388"/>
    <w:rsid w:val="382F6E9D"/>
    <w:rsid w:val="38577CF7"/>
    <w:rsid w:val="389F439D"/>
    <w:rsid w:val="38B25C05"/>
    <w:rsid w:val="38B77A01"/>
    <w:rsid w:val="39523BA5"/>
    <w:rsid w:val="39BB7EE4"/>
    <w:rsid w:val="39F361BC"/>
    <w:rsid w:val="3A6E423E"/>
    <w:rsid w:val="3A914F26"/>
    <w:rsid w:val="3B480FA8"/>
    <w:rsid w:val="3B652D26"/>
    <w:rsid w:val="3BB96D2D"/>
    <w:rsid w:val="3BEC1BB8"/>
    <w:rsid w:val="3C6D1184"/>
    <w:rsid w:val="3ED057B3"/>
    <w:rsid w:val="3FAB072C"/>
    <w:rsid w:val="3FF87F08"/>
    <w:rsid w:val="409B19AC"/>
    <w:rsid w:val="41372252"/>
    <w:rsid w:val="42DC27D1"/>
    <w:rsid w:val="441278C2"/>
    <w:rsid w:val="45B239A1"/>
    <w:rsid w:val="46376D8F"/>
    <w:rsid w:val="46840E3C"/>
    <w:rsid w:val="46C92259"/>
    <w:rsid w:val="47303201"/>
    <w:rsid w:val="475470FF"/>
    <w:rsid w:val="47580C7C"/>
    <w:rsid w:val="47915D02"/>
    <w:rsid w:val="48D0623F"/>
    <w:rsid w:val="48DC7E05"/>
    <w:rsid w:val="491835A2"/>
    <w:rsid w:val="494E4CE0"/>
    <w:rsid w:val="4983091D"/>
    <w:rsid w:val="49B77255"/>
    <w:rsid w:val="4A0024F0"/>
    <w:rsid w:val="4A24097A"/>
    <w:rsid w:val="4A513E27"/>
    <w:rsid w:val="4A5A095E"/>
    <w:rsid w:val="4A7772EC"/>
    <w:rsid w:val="4A8D2E42"/>
    <w:rsid w:val="4ADB632E"/>
    <w:rsid w:val="4C4361B1"/>
    <w:rsid w:val="4C5616FC"/>
    <w:rsid w:val="4C9E7F1D"/>
    <w:rsid w:val="4CF61FCA"/>
    <w:rsid w:val="4D041B9D"/>
    <w:rsid w:val="4E3812A9"/>
    <w:rsid w:val="4E617EA6"/>
    <w:rsid w:val="5074069F"/>
    <w:rsid w:val="507A0D10"/>
    <w:rsid w:val="508B649F"/>
    <w:rsid w:val="510B4699"/>
    <w:rsid w:val="520F7A47"/>
    <w:rsid w:val="52367519"/>
    <w:rsid w:val="5396412D"/>
    <w:rsid w:val="546A4726"/>
    <w:rsid w:val="54980A4A"/>
    <w:rsid w:val="54EE4BBE"/>
    <w:rsid w:val="550C3CBD"/>
    <w:rsid w:val="550F65FB"/>
    <w:rsid w:val="555B426E"/>
    <w:rsid w:val="556D4BB2"/>
    <w:rsid w:val="565815DD"/>
    <w:rsid w:val="56D414F9"/>
    <w:rsid w:val="57B07E12"/>
    <w:rsid w:val="58DC7795"/>
    <w:rsid w:val="59A53724"/>
    <w:rsid w:val="59CB74D2"/>
    <w:rsid w:val="59E92EC5"/>
    <w:rsid w:val="5AA03D29"/>
    <w:rsid w:val="5AB9766A"/>
    <w:rsid w:val="5B456A02"/>
    <w:rsid w:val="5C1F5946"/>
    <w:rsid w:val="5CD85388"/>
    <w:rsid w:val="5DEC2BCD"/>
    <w:rsid w:val="5DF12F57"/>
    <w:rsid w:val="5E945CFC"/>
    <w:rsid w:val="5FEF1C95"/>
    <w:rsid w:val="60136083"/>
    <w:rsid w:val="601A0D52"/>
    <w:rsid w:val="6047731B"/>
    <w:rsid w:val="60C2201F"/>
    <w:rsid w:val="61211F09"/>
    <w:rsid w:val="61914A25"/>
    <w:rsid w:val="64E25293"/>
    <w:rsid w:val="65630FE0"/>
    <w:rsid w:val="65AD7BF8"/>
    <w:rsid w:val="65FF4D13"/>
    <w:rsid w:val="663C70C4"/>
    <w:rsid w:val="666E6424"/>
    <w:rsid w:val="66D4123A"/>
    <w:rsid w:val="6787135E"/>
    <w:rsid w:val="67A61133"/>
    <w:rsid w:val="67FC7A5A"/>
    <w:rsid w:val="67FD47B5"/>
    <w:rsid w:val="68354DB8"/>
    <w:rsid w:val="68A838E9"/>
    <w:rsid w:val="69261410"/>
    <w:rsid w:val="6A1D527D"/>
    <w:rsid w:val="6A253202"/>
    <w:rsid w:val="6ABA269D"/>
    <w:rsid w:val="6ABB2FEF"/>
    <w:rsid w:val="6AE87A80"/>
    <w:rsid w:val="6B7A4828"/>
    <w:rsid w:val="6C3A4B8A"/>
    <w:rsid w:val="6CB00094"/>
    <w:rsid w:val="6CFD292C"/>
    <w:rsid w:val="6D001DE5"/>
    <w:rsid w:val="6D102DA2"/>
    <w:rsid w:val="6E75308A"/>
    <w:rsid w:val="6F1720EC"/>
    <w:rsid w:val="6F1F78E3"/>
    <w:rsid w:val="6F9610F5"/>
    <w:rsid w:val="703F7EB4"/>
    <w:rsid w:val="70682109"/>
    <w:rsid w:val="7105389B"/>
    <w:rsid w:val="71300E6C"/>
    <w:rsid w:val="71A37133"/>
    <w:rsid w:val="71D73FF2"/>
    <w:rsid w:val="71F95BA1"/>
    <w:rsid w:val="73103203"/>
    <w:rsid w:val="734D1A79"/>
    <w:rsid w:val="73990C75"/>
    <w:rsid w:val="75DE4799"/>
    <w:rsid w:val="761600F4"/>
    <w:rsid w:val="769F5BC6"/>
    <w:rsid w:val="76A60A94"/>
    <w:rsid w:val="7869311E"/>
    <w:rsid w:val="78E320A6"/>
    <w:rsid w:val="793125D8"/>
    <w:rsid w:val="79DD4A1F"/>
    <w:rsid w:val="7B09364D"/>
    <w:rsid w:val="7B8D7B01"/>
    <w:rsid w:val="7C95557C"/>
    <w:rsid w:val="7C9A7FA4"/>
    <w:rsid w:val="7CE419F3"/>
    <w:rsid w:val="7CFA53CB"/>
    <w:rsid w:val="7E7D6F78"/>
    <w:rsid w:val="7F595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公文"/>
    <w:basedOn w:val="1"/>
    <w:qFormat/>
    <w:uiPriority w:val="0"/>
    <w:pPr>
      <w:spacing w:line="560" w:lineRule="exact"/>
      <w:ind w:firstLine="420" w:firstLineChars="200"/>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13646</Words>
  <Characters>13848</Characters>
  <Lines>0</Lines>
  <Paragraphs>0</Paragraphs>
  <TotalTime>1</TotalTime>
  <ScaleCrop>false</ScaleCrop>
  <LinksUpToDate>false</LinksUpToDate>
  <CharactersWithSpaces>14492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2021-03-15T03:03:00Z</dcterms:created>
  <dc:creator>Nͧiͧnͧaͧ - zͧiͧtͧaͧ</dc:creator>
  <cp:lastModifiedBy>Nina—zita</cp:lastModifiedBy>
  <cp:lastPrinted>2021-07-28T06:56:00Z</cp:lastPrinted>
  <dcterms:modified xsi:type="dcterms:W3CDTF">2026-05-19T01:34:51Z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F52074794DF342C0977446651AB9E396</vt:lpwstr>
  </property>
  <property fmtid="{D5CDD505-2E9C-101B-9397-08002B2CF9AE}" pid="4" name="KSOTemplateDocerSaveRecord">
    <vt:lpwstr>eyJoZGlkIjoiMzQwMWZhMTY3MzhhOTFmYWY0NGMwMmI2ZWI4YTVmYWUiLCJ1c2VySWQiOiI0OTE4NTIyNzAifQ==</vt:lpwstr>
  </property>
</Properties>
</file>