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6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包头稀土高新技术产业开发区管理委员会</w:t>
      </w:r>
    </w:p>
    <w:p w14:paraId="649BD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关于印发《政务服务“蒙速办·一网办”“蒙速办·掌上办”“蒙速办·一次办”“蒙速办·帮您办”具体实施方案》的通知</w:t>
      </w:r>
    </w:p>
    <w:p w14:paraId="57E1E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88B1FA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滨河新区，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区属各部门、单位，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各镇、街道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，各派驻机关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48A8D9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持续深化“放管服”改革，加快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政务服务能力，打造“最少、最快、最好”的政务环境和营商环境，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现将《稀土高新区政务服务“蒙速办·一网办”“蒙速办·掌上办”“蒙速办·一次办”“蒙速办·帮您办”具体实施方案》印发给你们，请结合实际，认真贯彻执行。</w:t>
      </w:r>
    </w:p>
    <w:p w14:paraId="7915A45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     </w:t>
      </w:r>
    </w:p>
    <w:p w14:paraId="216F4AF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lang w:val="en-US" w:eastAsia="zh-CN"/>
        </w:rPr>
      </w:pPr>
    </w:p>
    <w:p w14:paraId="4147116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</w:p>
    <w:p w14:paraId="2DE1375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</w:t>
      </w:r>
    </w:p>
    <w:p w14:paraId="1A24F1B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包头</w:t>
      </w:r>
      <w:r>
        <w:rPr>
          <w:rFonts w:hint="eastAsia" w:ascii="仿宋_GB2312" w:hAnsi="仿宋_GB2312" w:eastAsia="仿宋_GB2312" w:cs="仿宋_GB2312"/>
          <w:lang w:val="en-US" w:eastAsia="zh-CN"/>
        </w:rPr>
        <w:t>稀土高新区</w:t>
      </w:r>
      <w:r>
        <w:rPr>
          <w:rFonts w:hint="eastAsia" w:ascii="仿宋_GB2312" w:hAnsi="仿宋_GB2312" w:cs="仿宋_GB2312"/>
          <w:lang w:val="en-US" w:eastAsia="zh-CN"/>
        </w:rPr>
        <w:t xml:space="preserve">管委会    </w:t>
      </w:r>
      <w:bookmarkStart w:id="0" w:name="_GoBack"/>
      <w:bookmarkEnd w:id="0"/>
    </w:p>
    <w:p w14:paraId="1DBE4063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                            2021年3月19日</w:t>
      </w:r>
    </w:p>
    <w:p w14:paraId="4EF0A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sectPr>
          <w:pgSz w:w="11906" w:h="16838"/>
          <w:pgMar w:top="1984" w:right="1531" w:bottom="1984" w:left="1531" w:header="851" w:footer="992" w:gutter="0"/>
          <w:cols w:space="425" w:num="1"/>
          <w:docGrid w:type="lines" w:linePitch="312" w:charSpace="0"/>
        </w:sectPr>
      </w:pPr>
    </w:p>
    <w:p w14:paraId="69BF5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包头稀土高新区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政务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服务</w:t>
      </w:r>
    </w:p>
    <w:p w14:paraId="286DD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“蒙速办·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一次办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”具体实施方案</w:t>
      </w:r>
    </w:p>
    <w:p w14:paraId="27B64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366DC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为贯彻落实《内蒙古自治区全面推行“蒙速办·一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办”工作实施方案》,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持续深化“放管服”改革，加快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政务服务能力，打造“最少、最快、最好”的政务环境和营商环境，现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实际，制定本方案。</w:t>
      </w:r>
    </w:p>
    <w:p w14:paraId="3D29D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一、总体要求</w:t>
      </w:r>
    </w:p>
    <w:p w14:paraId="33BC2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（一）指导思想。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以习近平新时代中国特色社会主义思想为指导，践行以人民为中心的发展思想，以企业群众办事更高效、更便利为导向，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不断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集成“一件事”涉及的政务服务事项，加强业务协同和信息共享，优化再造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流程，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通过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“一件事一次办”，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大幅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降低制度性交易成本，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进一步提升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企业群众的获得感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和满意度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不断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优化营商环境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7C75C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目标。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3月底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完成办事指南审核确认、新增“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”办事指南编制及流程再造；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4月下旬完成线下窗口设置、线上专栏设置、专业队伍组建等；5月底前全面启动“一件事一次办”。</w:t>
      </w:r>
    </w:p>
    <w:p w14:paraId="39D97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二、主要任务</w:t>
      </w:r>
    </w:p>
    <w:p w14:paraId="2E59F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梳理事项清单。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重点围绕自治区公布的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实行“一次告知、一套表单、一次受理、一次联办、一次办成、一窗发证”闭环运行，为企业群众提供套餐式、主题式集成服务。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全面梳理现有“一次办”事项清单，剔除重复项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形成区本级清单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（详见附件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各行业主管部门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或牵头部门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各部门、单位要认真全面了解企业群众需求，参照先进地区“一件事”目录，将更多的企业群众关注度高、办件量大的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“一件事”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纳入本部门“一件事”目录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按相关梳理要求做好“一张表单、一套材料“的梳理汇总和流程再造工作，并及时报送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至政务公开办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办理权限的，由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事项牵头部门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会同市直部门共同梳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理。(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组织人社部、经济发展局、财政局、建设环保局、社会事务局、教育局、食药工商局、农牧林水局、公安分局、税务局、政务公开办、供电局、供水公司、燃气公司；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各有关部门；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3月底前完成）</w:t>
      </w:r>
    </w:p>
    <w:p w14:paraId="3FCC1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（二）优化再造办事流程。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各部门、单位要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严格执行自治区梳理公布的“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”事项办理流程。“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”全流程在同一部门多个科室办理的，部门要整合内部办理流程，取消不必要的审核把关，实行“一口对外、限时办结、一次办好”；“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”全流程涉及多个部门的，负责核心环节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第一个环节办理的部门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或行业主管部门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作为牵头部门，积极主动推动实施，其他环节部门全力配合牵头部门，推动“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”业务协同、系统整合、数据共享、集成服务，实现“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”统一受理、同步评估、并联审批、一口出件。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组织人社部、经济发展局、财政局、建设环保局、社会事务局、教育局、食药工商局、农牧林水局、公安分局、税务局、政务公开办、供电局、供水公司、燃气公司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各有关部门；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3月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底前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完成）</w:t>
      </w:r>
    </w:p>
    <w:p w14:paraId="2427D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（三）编制办事指南。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照自治区“一次办”事项清单，根据《2020年网上政务服务能力第三方评估指标体系》中办事指南准确度要求，将“一件事”涉及多个事项的依据、条件、程序、材料、时限、办理方式等要素整合优化，重点列明办理流程、申请材料、办理时限、咨询电话等。要对办事指南各要素进行最小颗粒化梳理，消除模糊表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组织人社部、经济发展局、财政局、建设环保局、社会事务局、教育局、食药工商局、农牧林水局、公安分局、税务局、政务公开办、供电局、供水公司、燃气公司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各有关部门；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3月底前完成）</w:t>
      </w:r>
    </w:p>
    <w:p w14:paraId="555B6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）发布办事指南。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办事指南经各部门、单位审核通过后报送至政务公开办，由政务公开办汇总，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高新区门户网站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“包头政务服务网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/>
        </w:rPr>
        <w:t>鹿城之窗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、政务服务大厅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等多渠道公布（详见附件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组织人社部、经济发展局、财政局、建设环保局、社会事务局、教育局、食药工商局、农牧林水局、公安分局、税务局、供电局、供水公司、燃气公司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3月底前完成）</w:t>
      </w:r>
    </w:p>
    <w:p w14:paraId="33EA5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）组建专业队伍。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“一次办”事项办理实行专人全流程跟踪服务，主要负责“一次办”事项的咨询导办、收件受理、代办帮办、资料流转、协调对接、发证领证等工作。窗口人员数量根据办件量动态调整。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按照“综窗人员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+部门代办员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”模式，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组建专业队伍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。部门代办员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由“一件事”涉及的各行业主管部门选派，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综窗人员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通过政府购买服务等方式解决。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组织人社部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政务公开办、经济发展局、财政局、建设环保局、社会事务局、教育局、食药工商局、农牧林水局、公安分局、税务局、供电局、供水公司、燃气公司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4月底前完成）</w:t>
      </w:r>
    </w:p>
    <w:p w14:paraId="52A9B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六）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设置线下综合窗口。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高新区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政务服务大厅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要统一开设“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”窗口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并不断将“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”服务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延伸至苏木（乡镇、街道）、嘎查（村、社区）便民服务中心。窗口标识由自治区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确定。“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蒙速办·一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”窗口要全面推行“前台一窗受理、中台专业支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、后台并联审批、内部流转代办、统一窗口出件”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，并根据申请人信用状况，提供容缺受理、告知承诺等服务。办理结果通过现场或邮寄方式一次送达。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组织人社部、经济发展局、财政局、建设环保局、社会事务局、教育局、食药工商局、农牧林水局、公安分局、税务局、万水泉镇、稀土路街道办事处、民馨路街道办事处、供电局、供水公司、燃气公司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4月底前完成）</w:t>
      </w:r>
    </w:p>
    <w:p w14:paraId="12057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）设置线上专栏。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高新区门户网站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设置“一次办”专栏，提供办事指南查询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依托“包头政务服务网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/>
        </w:rPr>
        <w:t>鹿城之窗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”、“蒙速办”（包头站）、12345政务服务热线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/>
        </w:rPr>
        <w:t>开设“一次办”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专栏,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申请表格下载等服务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步实现线上线下同一标准、同一流程、同质服务、一体化办理。(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4月底前完成）</w:t>
      </w:r>
    </w:p>
    <w:p w14:paraId="0FC61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强化监督考评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党务综合部（督查）、行政综合部（督查）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要对本级部门开展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一次办”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工作进行督查考评，并纳入部门及人员年度考核内容。要通过“好差评”、意见箱、</w:t>
      </w:r>
      <w:r>
        <w:rPr>
          <w:rFonts w:hint="eastAsia" w:ascii="仿宋_GB2312" w:hAnsi="仿宋_GB2312" w:eastAsia="仿宋_GB2312" w:cs="仿宋_GB2312"/>
          <w:i w:val="0"/>
          <w:iCs w:val="0"/>
          <w:strike w:val="0"/>
          <w:dstrike w:val="0"/>
          <w:sz w:val="32"/>
          <w:szCs w:val="32"/>
        </w:rPr>
        <w:t>邮箱、12345热线、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政务服务热线、投诉举报平台等，多渠道受理企业和群众的意见建议，接受社会监督，并按比例抽取企业群众开展回访。</w:t>
      </w:r>
    </w:p>
    <w:p w14:paraId="6701B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三、工作要求</w:t>
      </w:r>
    </w:p>
    <w:p w14:paraId="22206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各部门、单位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要高度重视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把推进“一次办”工作摆在突出位置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细化分解任务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逐级压实责任。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主要领导要亲自部署、亲自推动、亲自督查。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财政部门要将开展“一次办”所需资金纳入本级年度财政预算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给予充足经费保障。</w:t>
      </w:r>
    </w:p>
    <w:p w14:paraId="74ABA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（二）落实工作责任。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各部门、单位要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紧盯任务时间节点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逐级落实责任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密切配合、上下联动、整体推进。牵头部门要敢于担当、勇于负责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，带领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配合部门认真完成工作任务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要积极配合各部门、单位做好统筹协调、事项梳理、指南发布、平台建设等工作。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各部门、单位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咨询情况、困难问题、活动宣传、办件量等工作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进展情况报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政务公开办。</w:t>
      </w:r>
    </w:p>
    <w:p w14:paraId="13B04C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加强督查考核。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督查检查和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惩戒问责机制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党务综合部（督查）、行政综合部（督查）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会同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政务公开办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，加强对“一次办”工作落实情况的监督检查。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不重视、不主动、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工作推进不力、损害企业群众合法权益的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，一经发现，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严肃问责。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要将“一次办”工作纳入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政务服务能力考评范围，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</w:rPr>
        <w:t>考评结果上报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46CDE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加强宣传引导。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“一次办”各相关部门，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要通过群众喜闻乐见的形式，广泛深入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开展“一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次办”宣传解读，扩大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社会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知晓度。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要建立健全服务评价机制，广泛听取社会各界的意见建议，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持续提升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群众的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获得感、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满意度。</w:t>
      </w:r>
    </w:p>
    <w:p w14:paraId="61296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“一次办”咨询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0472-5163108</w:t>
      </w:r>
    </w:p>
    <w:p w14:paraId="58CAF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4"/>
          <w:rFonts w:hint="eastAsia" w:ascii="仿宋" w:hAnsi="仿宋" w:eastAsia="仿宋" w:cs="Arial"/>
          <w:i w:val="0"/>
          <w:iCs w:val="0"/>
          <w:color w:val="000000"/>
          <w:sz w:val="32"/>
          <w:szCs w:val="32"/>
          <w:shd w:val="clear" w:color="auto" w:fill="FFFFFF"/>
          <w:lang w:eastAsia="zh-CN"/>
        </w:rPr>
      </w:pPr>
    </w:p>
    <w:p w14:paraId="01F59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  <w:lang w:eastAsia="zh-CN"/>
        </w:rPr>
        <w:t>附件：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</w:rPr>
        <w:t>“蒙速办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·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</w:rPr>
        <w:t>一次办”事项清单</w:t>
      </w:r>
    </w:p>
    <w:p w14:paraId="19411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</w:rPr>
        <w:t>“蒙速办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·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shd w:val="clear" w:color="auto" w:fill="FFFFFF"/>
        </w:rPr>
        <w:t>一次办”事项办事指南、流程图</w:t>
      </w:r>
    </w:p>
    <w:p w14:paraId="4B88923E"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704E"/>
    <w:rsid w:val="41A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  <w:style w:type="paragraph" w:customStyle="1" w:styleId="5">
    <w:name w:val="公文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3234</Words>
  <Characters>3268</Characters>
  <Lines>0</Lines>
  <Paragraphs>0</Paragraphs>
  <TotalTime>0</TotalTime>
  <ScaleCrop>false</ScaleCrop>
  <LinksUpToDate>false</LinksUpToDate>
  <CharactersWithSpaces>3358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2026-05-15T09:31:41Z</dcterms:created>
  <dc:creator>Administrator</dc:creator>
  <cp:lastModifiedBy>Nina—zita</cp:lastModifiedBy>
  <dcterms:modified xsi:type="dcterms:W3CDTF">2026-05-15T09:34:23Z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eyJoZGlkIjoiMzQwMWZhMTY3MzhhOTFmYWY0NGMwMmI2ZWI4YTVmYWUiLCJ1c2VySWQiOiI0OTE4NTIyNzAifQ==</vt:lpwstr>
  </property>
  <property fmtid="{D5CDD505-2E9C-101B-9397-08002B2CF9AE}" pid="4" name="ICV">
    <vt:lpwstr>AA8B3599486C494099F0D7AA47DD290D_12</vt:lpwstr>
  </property>
</Properties>
</file>